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INC.2000.50604 vom 16. Januar 2002</w:t>
      </w:r>
    </w:p>
    <w:p>
      <w:r>
        <w:t>TI Tribunale d'appello, 2002-01-16, IT</w:t>
      </w:r>
    </w:p>
    <w:p>
      <w:r>
        <w:rPr>
          <w:b/>
        </w:rPr>
        <w:t xml:space="preserve">Quelle: </w:t>
      </w:r>
      <w:r>
        <w:t>https://mcp.opencaselaw.ch/entscheid/ti_gerichte_INC.2000.50604</w:t>
      </w:r>
    </w:p>
    <w:p>
      <w:r>
        <w:t>FR: TI_GERICHTE INC.2000.50604 du 16 janvier 2002</w:t>
      </w:r>
    </w:p>
    <w:p>
      <w:r>
        <w:t>IT: TI_GERICHTE INC.2000.50604 del 16 gennaio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è parzialmente accolto. 1.1.1 Di conseguenza il Procuratore pubblico disporrà il dissequestro del conto __________ presso l'__________ di Lugano e del bracciale " Bogialli ", dell'orologio " Rolex ", dell'anello, della collanina e del ciondolo "__________" e della collana e bracciale " Goldhouse ".</w:t>
      </w:r>
    </w:p>
    <w:p>
      <w:r>
        <w:rPr>
          <w:b/>
        </w:rPr>
        <w:t>E. 2</w:t>
      </w:r>
    </w:p>
    <w:p>
      <w:r>
        <w:t>Non si percepiscono spese giudiziarie e non si attribuiscono ripetibili.</w:t>
      </w:r>
    </w:p>
    <w:p>
      <w:r>
        <w:rPr>
          <w:b/>
        </w:rPr>
        <w:t>E. 3</w:t>
      </w:r>
    </w:p>
    <w:p>
      <w:r>
        <w:t>Contro la presente decisione è dato ricorso, entro dieci giorni dall'intimazione, alla Camera dei ricorsi penali.</w:t>
      </w:r>
    </w:p>
    <w:p>
      <w:r>
        <w:rPr>
          <w:b/>
        </w:rPr>
        <w:t>E. 4</w:t>
      </w:r>
    </w:p>
    <w:p>
      <w:r>
        <w:t>Intimazione: - avv. __________, per sé e per la reclamante (con copia delle osservazioni del magistrato inquirente); - avv. __________, per sé e per ____________ (con copia delle osservazioni del magistrato inquirente); - Procuratore pubblico avv. __________, sede.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