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INC.2000.49402 vom 4. Oktober 2000</w:t>
      </w:r>
    </w:p>
    <w:p>
      <w:r>
        <w:t>TI Tribunale d'appello, 2000-10-04, IT</w:t>
      </w:r>
    </w:p>
    <w:p>
      <w:r>
        <w:rPr>
          <w:b/>
        </w:rPr>
        <w:t xml:space="preserve">Quelle: </w:t>
      </w:r>
      <w:r>
        <w:t>https://mcp.opencaselaw.ch/entscheid/ti_gerichte_INC.2000.49402</w:t>
      </w:r>
    </w:p>
    <w:p>
      <w:r>
        <w:t>FR: TI_GERICHTE INC.2000.49402 du 4 octobre 2000</w:t>
      </w:r>
    </w:p>
    <w:p>
      <w:r>
        <w:t>IT: TI_GERICHTE INC.2000.49402 del 4 ottobre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si può con tranquillità concludere per la presenza di indizi di colpevolezza a carico di __________, e relativi a un suo coinvolgimento nei fatti inquisiti, da lui ammesso sia avanti agli inquirenti che in sede dell’istanza qui discussa (v. supra , consid. C). b)        In quale misura gli indizi a suo carico – visti nell’ottica dei reati che gli imputa il Procuratore Pubblico e non di “mero” contrabbando – siano seri e concreti, è questione che non può essere dibattuta in questa sede. I sottili distinguo che la difesa propone in merito alle informazioni di cui disponeva l’accusato al momento del fatidico trasporto (v. ad esempio istanza,  cit., pto. 5 p. 3-4), così come gli argomenti contrari addotti dal Procuratore Pubblico (v. preavviso negativo, cit., pto. A p. 2-3), rappresentano, a non dubitarne, obiezioni che vorranno approfondimento. Tuttavia, trattandosi di obiezioni di natura sostanziale, esse competono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E, almeno nell’ottica di mera verosimiglianza, gli argomenti che il magistrato inquirente apporta a suffragio dell’ipotesi accusatoria da lui sostenuta (v. preavviso negativo, cit., pto. A p. 2, con rinvio al rapporto di polizia giudiziaria 15 settembre 2000, inc. MP doc. _ p. 4) non sono peregrini al punto da far apparire la stessa tendenzialmente o preponderantemente insostenibile, così come – di converso – gli argomenti addotti dalla difesa non convincono immediatamente dell’innocenza di __________.</w:t>
      </w:r>
    </w:p>
    <w:p>
      <w:r>
        <w:rPr>
          <w:b/>
        </w:rPr>
        <w:t>E. 3</w:t>
      </w:r>
    </w:p>
    <w:p>
      <w:r>
        <w:t>I soli bisogni dell’istruzione ai quali si appella il Procuratore Pubblico (v. preavviso negativo, cit., pto. C p. 3) sono quelli che potrebbero derivare da eventuali istanze di complemento istruttorio proposte dall’accusato istante medesimo, che tuttavia non vi ha fatto cenno alcuno né in sede di reclamo (v. reclamo, cit., pto. 6 p. 5), né in sede di osservazioni (v. osservazioni, cit., ad C p. 4). Ad essi vanno ad aggiungersi unicamente i tempi tecnici per arrivare fino alla celebrazione del pubblico dibattimento (chiusura dell’istruttoria formale ed emanazione dell’atto d’accusa). Data l’aleatorietà che tale requisito riveste nella concreta fattispecie, non è tuttavia comunque possibile appurare se eventuali ulteriori passi istruttori siano di natura tale da esigere il mantenimento o meno dello stato di detenzione preventiva (finalizzato ad evitare inquinamento delle prove o collusione con altri correi): l’istanza non può pertanto venire respinta sulla scorta di tale argomento.</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decisione 19 aprile 2000 in re C.F., inc. GIAR 124.2000.2 consid. 4a p. 5). b)        Se la difesa (v. istanza, cit., pto. 7 p. 5-6) sottolinea come l’accusato abbia tutto l’interesse a partecipare al pubblico dibattimento, al fine di dimostrare la propria innocenza quo al reato che gli viene imputato nell’ambito del presente procedimento (nonché al fine di ridurre al minimo le pene relative all’incarto sfociato nell’atto d’accusa già pendente), la pubblica accusa evidenzia come “ la reiterazione dell’illecito ” (preavviso negativo, cit., pto. E p. 4) faccia apparire a priori dubbia la prognosi favorevole, necessaria per la concessione della sospensione condizionale della pena; unitamente alla possibilità di fatto di continuare a frequentare il suolo svizzero, dovuta alla prossimità del luogo di domicilio dell’accusato con la frontiera, ciò “ potrebbe dunque indurre il __________ a darsi alla fuga e a non presentarsi al processo ” (ibid.). c)         I timori del Procuratore Pubblico non sono infondati. __________ non ha alcun (lecito) legame con la Svizzera, rispettivamente il Cantone Ticino: quest’ultimo rappresenta unicamente il territorio con il quale svolgere i suoi traffici illeciti (o, nella migliore delle ipotesi, non adamantini, come si esprime l’accusato medesimo in sede d’istanza, cit., pto. 5 p. 3 in fine). Né i suoi precedenti permettono di ritenere che i due procedimenti penali aperti qui nei suoi confronti, qualsivoglia sia il loro esito, potranno indurlo a modificare il proprio rapporto con la Svizzera: tutt’al più, egli farà più attenzione a non farsi prendere. Tuttavia, proprio per il fatto di vivere a ridosso della frontiera, è certo che egli ha un concreto interesse a porre in atto quanto in suo potere per limitare le sanzioni penali che qui verranno prese nei suoi confronti. E se i presupposti per una sospensione condizionale della pena accessoria dell’espulsione dalla Svizzera appaiono alquanto tenui, altrettanto non si può dire della sospensione condizionale della pena privativa della libertà. Tutto sommato, in conclusione, non sembra potersi affermare che una sua presenza al pubblico dibattimento appaia sin d’ora improbabile.</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Nel caso di __________, un certo qual pericolo di recidiva esiste. A preoccupare è il fatto di aver egli delinquito pendente un atto d’accusa recente: ciò denota un’innegabile inclinazione al reato, che i numerosi – seppur disparati – precedenti non hanno saputo mitigare, ed un’indifferenza preoccupante di fronte all’eventualità di un’ulteriore condanna. Emerge anche dalle carte processuali che per __________ il contrabbando è ovviamente occupazione abituale (v., fra l’altro, verbale di polizia 22 agosto 2000, ore 11.00, p. 1 e R6 p. 4), ma che tutto quanto egli sembra aver imparato da questa esperienza è che “ anche nel contrabbando non si sa più dove si va a finire ” (verbale MP 6 settembre 2000, ore 09.25, p. 3, all’inc. MP doc. _): ancora una volta, dopo i fatti che lo hanno portato in carcere a fine 1998 egli ha dunque dimostrato di essere persona assai poco affidabile, costantemente sul filo del rasoio, avvezza a sopravvivere grazie ad espedienti sempre al limite della legalità (e talvolta al di là). Tuttavia, i suoi precedenti italiani per contrabbando e ricettazione risalgono alla fine degli anni ’60 / inizio anni ’70, mentre le condanne successive – anch’esse piuttosto lontane nel tempo – riguardano fattispecie di natura diversa (v. estratto del casellario giudiziale italiano 13 settembre 2000, inc. MP doc. _). A mente di questo giudice, in conclusione, seppur __________, in questi ultimi anni, non abbia fatto nulla per meritarsi la fiducia dell’autorità svizzera, non può neppure essere escluso che, finalmente, le recenti disavventure giudiziarie gli possano insegnare a muoversi con maggiore prudenza, senza confidare sul fatto che basta non porre troppe domande per mettersi al riparo da situazioni illecite.</w:t>
      </w:r>
    </w:p>
    <w:p>
      <w:r>
        <w:rPr>
          <w:b/>
        </w:rPr>
        <w:t>E. 6</w:t>
      </w:r>
    </w:p>
    <w:p>
      <w:r>
        <w:t>In condizioni normali, il mantenimento della carcerazione preventiva di __________ avrebbe potuto essere giustificato, senza arbitrio, in ragione dei combinati pericoli di fuga e di recidiva, almeno quest’ultimo certamente non ovviabile con la prestazione di misure sostitutive quali il versamento di una cauzione (v. istanza, cit., pto. 7 p. 6). Due fattori, però, fanno pendere la bilancia in favore dell’accoglimento della presente istanza. a)        Il suo ruolo nell’ambito dei fatti attualmente sotto inchiesta è senz’altro limitato (alla peggio) alla ricettazione dei telefoni cellulari rubati da __________ e __________ (con la partecipazione di __________ e tale __________), il procedimento contro i quali è stato disgiunto dal Procuratore Pubblico “ proprio per limitare i tempi della carcerazione preventiva di __________ ” (preavviso negativo, cit., pto. B p. 3). Ora, seppur pacifico che quello di ricettazione sia un reato indipendente per rapporto al reato patrimoniale a monte, appare effettivamente difficile immaginare che il ricettatore possa essere processato separatamente dagli autori del reato a monte – non fosse altro che per l’opportunità (qui, poi, si dovrà verosimilmente parlare di necessità) di sentire gli altri al fine di stabilire cosa __________ sapesse effettivamente (oppure dovesse ragionevolmente presumere, date le circostanze) circa la provenienza dei cellulari da lui trasportati in Italia. b)        Inoltre, va ricordato che a carico di __________ è pendente un ulteriore atto d’accusa che lo vede coinvolto, con ben altre sei persone, in diverse truffe commesse da un lato mettendo a disposizione dei correi carte di credito “clonate”, d’altro lato introducendo nel giro altri correi (v. atto d’accusa 115/1999/FL del 17 agosto 1999, agli atti MP). In applicazione degli artt. 35 e 36 cpv. 1 prima frase CPP sulla connessione, l’accusato istante dovrebbe essere processato contemporaneamente per quei fatti e per la nuova fattispecie. Tale principio, dettato da considerazioni di opportunità pratica, non è invero assoluto (v. Hauser/Schweri , Schweizerisches Strafprozessrecht, 4. Aufl. 1999 Basel/Genf/München, § 34 margin. 14, § 33 margin. 18, con rinvio a DTF 99 IV 17); tuttavia, visto anche nella prospettiva delle norme sul concorso retrospettivo (art. 68 cfr. 2 e 350 cfr. 2 CPS), eccezioni si giustificano solamente se atte ad evitare gravi complicazioni ( Hauser/Schweri , loc. cit., § 34 margin. 14, con rinvio a DTF 97 IV 55). Nel caso di specie avviene piuttosto il contrario: l’inoltro dell’atto d’accusa per i fatti qui discussi costringerebbe la corte competente, in virtù della discussa connessione soggettiva, ad indire anche il processo per le carte di credito “clonate” – oppure a disgiungere anche in quel caso la posizione di __________. Il risultato sarebbe che quest’ultimo verrebbe giudicato, per due atti d’accusa indipendenti l’uno dall’altro, separatamente dai rispettivi coaccusati: a mente di questo giudice, il principio di connessione – che dovrebbe venire disatteso due volte nei confronti del medesimo accusato – ne uscirebbe eccessivamente strapazzato, tanto più che, nel caso di specie, lo scopo perseguito dal Procuratore Pubblico con la disgiunzione della posizione di __________ da quella degli autori del furto a monte – ovvero giungere alla celebrazione del pubblico dibattimento con l’accusato in detenzione preventiva – non appare giustificato al di là di ogni dubbio.</w:t>
      </w:r>
    </w:p>
    <w:p>
      <w:r>
        <w:rPr>
          <w:b/>
        </w:rPr>
        <w:t>E. 7</w:t>
      </w:r>
    </w:p>
    <w:p>
      <w:r>
        <w:t>In conclusione, l’istanza in discussione deve essere accolta, con la presente decisione impugnabile entro 10 (dieci) giorni alla Camera dei ricorsi penali del tribunale di appello (art. 284 cpv. 1 lit. a CPP) e senza conseguenze di tassa e spese. Appare nondimeno opportuna la fissazione di una cauzione, di ammontare commisurato alla natura e alle conseguenze del reato nonché alle condizioni economiche dell’accusato ed ai suoi precedenti. Per i quali motivi, visti gli artt. 95 ss., 96, 107 s., 110, 279 ss. e 284 cpv. 1 lit. a CPP decide: 1. L’istanza di libertà provvisoria inoltrata in data 25/26 settembre 2000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 con copia del preavviso negativo del magistrato inquirente; -      Procuratore Pubblico avv. __________, con copia delle osservazioni dall’accusato istante e l’inc. MP 3943/2000/FL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