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INC.2000.46305 vom 11. März 2003</w:t>
      </w:r>
    </w:p>
    <w:p>
      <w:r>
        <w:t>TI Tribunale d'appello, 2003-03-11, IT</w:t>
      </w:r>
    </w:p>
    <w:p>
      <w:r>
        <w:rPr>
          <w:b/>
        </w:rPr>
        <w:t xml:space="preserve">Quelle: </w:t>
      </w:r>
      <w:r>
        <w:t>https://mcp.opencaselaw.ch/entscheid/ti_gerichte_INC.2000.46305</w:t>
      </w:r>
    </w:p>
    <w:p>
      <w:r>
        <w:t>FR: TI_GERICHTE INC.2000.46305 du 11 mars 2003</w:t>
      </w:r>
    </w:p>
    <w:p>
      <w:r>
        <w:t>IT: TI_GERICHTE INC.2000.46305 del 11 marzo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reclamo è respinto.</w:t>
      </w:r>
    </w:p>
    <w:p>
      <w:r>
        <w:rPr>
          <w:b/>
        </w:rPr>
        <w:t>E. 2</w:t>
      </w:r>
    </w:p>
    <w:p>
      <w:r>
        <w:t>La tassa di giustizia di fr. 250.- e le spese di fr. 30.- sono a carico di __________.</w:t>
      </w:r>
    </w:p>
    <w:p>
      <w:r>
        <w:rPr>
          <w:b/>
        </w:rPr>
        <w:t>E. 3</w:t>
      </w:r>
    </w:p>
    <w:p>
      <w:r>
        <w:t>Contro la presente decisione è dato ricorso entro dieci giorni dall'intimazione alla Camera dei ricorsi penali.</w:t>
      </w:r>
    </w:p>
    <w:p>
      <w:r>
        <w:rPr>
          <w:b/>
        </w:rPr>
        <w:t>E. 4</w:t>
      </w:r>
    </w:p>
    <w:p>
      <w:r>
        <w:t>Intimazione: - avv. __________, per sé e per __________ (con copia delle osservazioni del magistrato inquirente); - al Ministero pubblico, sede, rif. inc. MP __________ (con gli atti trasmessi sotto suggello dalla __________).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