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INC.2000.46104 vom 17. April 2001</w:t>
      </w:r>
    </w:p>
    <w:p>
      <w:r>
        <w:t>TI Tribunale d'appello, 2001-04-17, IT</w:t>
      </w:r>
    </w:p>
    <w:p>
      <w:r>
        <w:rPr>
          <w:b/>
        </w:rPr>
        <w:t xml:space="preserve">Quelle: </w:t>
      </w:r>
      <w:r>
        <w:t>https://mcp.opencaselaw.ch/entscheid/ti_gerichte_INC.2000.46104</w:t>
      </w:r>
    </w:p>
    <w:p>
      <w:r>
        <w:t>FR: TI_GERICHTE INC.2000.46104 du 17 avril 2001</w:t>
      </w:r>
    </w:p>
    <w:p>
      <w:r>
        <w:t>IT: TI_GERICHTE INC.2000.46104 del 17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17.04.2001 INC.2000.46104 Tessin Il Giudice dell'istruzione e dell'arresto 17.04.2001 INC.2000.46104 Ticino Il Giudice dell'istruzione e dell'arresto 17.04.2001 INC.2000.46104</w:t>
      </w:r>
    </w:p>
    <w:p>
      <w:r>
        <w:t>Sentenza o decisione senza scheda</w:t>
      </w:r>
    </w:p>
    <w:p>
      <w:r>
        <w:t>N. 461.2000.4 L                                                         Lugano, 17 aprile 2001 IL GIUDICE DELL'ISTRUZIONE E DELL'ARRESTO DELLA REPUBBLICA E CANTONE DEL TICINO __________ sedente per statuire sul reclamo presentato personalmente il 30 marzo 2001 da __________ ,                        attualmente presso il Penitenziario cantonale nel procedimento pendente contro di lui per titolo di mancato assassinio ed altri reati; preso atto della comunicazione 12 aprile 2001 dell'avv. __________, patrocinatore del reclamante, che precisa il senso dell'interpellazione del signor __________ quale semplice informazione sugli sviluppi dell'inchiesta nelle eventuali viste " di ulteriore richiesta di proroga del carcere preventivo ", senza alcuna valenza di gravame per denegata giustizia; considerato quindi l'assenza di sostanziale pendenza presso questo giudice, che vuole stralcio del presunto reclamo, senza seguito di spese giudiziarie; visti gli art. 66 cpv. 4 e 280 ss. CPP, decide: 1. La pendenza conseguente alla lettera 30 marzo 2001 di __________ è stralciata dai ruoli. 2. Non si percepiscono né tassa né spese giudiziarie. 3. Intimazione: - __________; - avv. __________; - Procuratrice pubblica dott. __________ (con fotocopia dell'intervento 30 marzo 2001 dell'accusato e della lettera 12 aprile 2001 del suo patrocinatore).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