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INC.2000.32401 vom 10. April 2003</w:t>
      </w:r>
    </w:p>
    <w:p>
      <w:r>
        <w:t>TI Tribunale d'appello, 2003-04-10, IT</w:t>
      </w:r>
    </w:p>
    <w:p>
      <w:r>
        <w:rPr>
          <w:b/>
        </w:rPr>
        <w:t xml:space="preserve">Quelle: </w:t>
      </w:r>
      <w:r>
        <w:t>https://mcp.opencaselaw.ch/entscheid/ti_gerichte_INC.2000.32401</w:t>
      </w:r>
    </w:p>
    <w:p>
      <w:r>
        <w:t>FR: TI_GERICHTE INC.2000.32401 du 10 avril 2003</w:t>
      </w:r>
    </w:p>
    <w:p>
      <w:r>
        <w:t>IT: TI_GERICHTE INC.2000.32401 del 10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10.04.2003 INC.2000.32401 Tessin Il Giudice dell'istruzione e dell'arresto 10.04.2003 INC.2000.32401 Ticino Il Giudice dell'istruzione e dell'arresto 10.04.2003 INC.2000.32401</w:t>
      </w:r>
    </w:p>
    <w:p>
      <w:r>
        <w:t>Sentenza o decisione senza scheda</w:t>
      </w:r>
    </w:p>
    <w:p>
      <w:r>
        <w:t>Incarto n. INC.2000.32401 Lugano 10 aprile 2003 In nome della Repubblica e Cantone del Ticino Il Giudice dell'istruzione e dell'arresto Franco Lardelli sedente per statuire sul ricorso presentato il 18 maggio 2000 da __________, cittadina jugoslava (rappr. dall'avv. __________, Consultorio Giuridico per i richiedenti l’asilo) contro la decisione 2 maggio 2000 del Dipartimento delle istituzioni di divieto di accedere al territorio del Cantone Ticino in applicazione dell’art. 13c cpv. 1 LDDS; visto lo scritto 8 aprile 2003 del Capo dell’Ufficio giuridico della sezione dei permessi e dell’immigrazione, Bellinzona, nel quale si dichiara che la ricorrente beneficia ora di un’ammissione provvisoria nel Canton __________ e che dunque, essendo venuti a cadere i presupposti alla base del provvedimento impugnato, la decisione dipartimentale ACC:6 del 2 maggio 2000 viene revocata; considerato di conseguenza che il ricorso è divenuto privo d’oggetto e come tale va stralciato dai ruoli senza conseguenza di tasse e spese giudiziarie; richiamata la legge cantonale di applicazione della legge federale concernente le misure coercitive in materia di diritto degli stranieri ed in particolare i suoi art. 3 cpv. 2 lett.b, 4 e 32; decide Il ricorso è evaso, in quanto privo d’oggetto. Non si percepiscono tasse e spese giudiziarie. Intimazione: - lic. iur. __________, Soccorso operaio svizzero, Consultorio giuridico, __________; - Dipartimento delle istituzioni, sezione permessi e immigrazione, 6500 Bellinzona;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