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INC.2000.25002 vom 7. Juni 2000</w:t>
      </w:r>
    </w:p>
    <w:p>
      <w:r>
        <w:t>TI Tribunale d'appello, 2000-06-07, IT</w:t>
      </w:r>
    </w:p>
    <w:p>
      <w:r>
        <w:rPr>
          <w:b/>
        </w:rPr>
        <w:t xml:space="preserve">Quelle: </w:t>
      </w:r>
      <w:r>
        <w:t>https://mcp.opencaselaw.ch/entscheid/ti_gerichte_INC.2000.25002</w:t>
      </w:r>
    </w:p>
    <w:p>
      <w:r>
        <w:t>FR: TI_GERICHTE INC.2000.25002 du 7 juin 2000</w:t>
      </w:r>
    </w:p>
    <w:p>
      <w:r>
        <w:t>IT: TI_GERICHTE INC.2000.25002 del 7 giugno 2000</w:t>
      </w:r>
    </w:p>
    <w:p>
      <w:pPr>
        <w:pStyle w:val="Heading2"/>
      </w:pPr>
      <w:r>
        <w:t>Regeste</w:t>
      </w:r>
    </w:p>
    <w:p>
      <w:r>
        <w:t>Sentenza o decisione senza scheda</w:t>
      </w:r>
    </w:p>
    <w:p>
      <w:pPr>
        <w:pStyle w:val="Heading2"/>
      </w:pPr>
      <w:r>
        <w:t>Erwägungen</w:t>
      </w:r>
    </w:p>
    <w:p>
      <w:r>
        <w:rPr>
          <w:b/>
        </w:rPr>
        <w:t>E. 7</w:t>
      </w:r>
    </w:p>
    <w:p>
      <w:r>
        <w:t>Alla luce di quanto precede l'istanza va accolta e l'accusata va posta in libertà provvisoria previo deposito dei documenti di legittimazione (passaporto e carta d'identità, il magistrato d'accusa veglierà a che i competenti uffici cantonali non emettano nuovi documenti di analoga natura e sostitutivi di quelli depositati) e con le norme di comportamento citate. Per i quali motivi, richiamati gli artt. 107, 108 e 284 e segg. CPP, decide: 1.  L’istanza di libertà provvisoria 26 maggio 2000 formulata da__________ è accolta . Di conseguenza è ordinata la scarcerazione di __________ previo deposito dei documenti di legittimazione. L'accusata è altresì astretta a non prendere contatto con le parti civili e non eserciterà la sua attività professionale in seno alla __________. 2.  Avverso la presente è data facoltà di ricorso alla Camera dei Ricorsi Penali del Tribunale di Appello nel termine di 10 (dieci) giorni dall'intimazione. 3.  Non si percepiscono né tassa né spese giudiziarie. 4.  Intimazione: giudice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