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INC.2000.21701 vom 20. April 2000</w:t>
      </w:r>
    </w:p>
    <w:p>
      <w:r>
        <w:t>TI Tribunale d'appello, 2000-04-20, IT</w:t>
      </w:r>
    </w:p>
    <w:p>
      <w:r>
        <w:rPr>
          <w:b/>
        </w:rPr>
        <w:t xml:space="preserve">Quelle: </w:t>
      </w:r>
      <w:r>
        <w:t>https://mcp.opencaselaw.ch/entscheid/ti_gerichte_INC.2000.21701</w:t>
      </w:r>
    </w:p>
    <w:p>
      <w:r>
        <w:t>FR: TI_GERICHTE INC.2000.21701 du 20 avril 2000</w:t>
      </w:r>
    </w:p>
    <w:p>
      <w:r>
        <w:t>IT: TI_GERICHTE INC.2000.21701 del 20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6 aprile 2000 formulato dalla __________, è stralciato dai ruoli siccome divenuto privo di oggetto.</w:t>
      </w:r>
    </w:p>
    <w:p>
      <w:r>
        <w:rPr>
          <w:b/>
        </w:rPr>
        <w:t>E. 2</w:t>
      </w:r>
    </w:p>
    <w:p>
      <w:r>
        <w:t>Non si percepiscono tasse e spese. Non si giustifica l'attribuzione di ripetibili.</w:t>
      </w:r>
    </w:p>
    <w:p>
      <w:r>
        <w:rPr>
          <w:b/>
        </w:rPr>
        <w:t>E. 3</w:t>
      </w:r>
    </w:p>
    <w:p>
      <w:r>
        <w:t>Avverso la presente decisione in materia di sequestro è data facoltà di impugnativa nel termine di 10 (dieci) giorni alla Camera dei Ricorsi Penali del Tribunale di Appello, Lugano.</w:t>
      </w:r>
    </w:p>
    <w:p>
      <w:r>
        <w:rPr>
          <w:b/>
        </w:rPr>
        <w:t>E. 4</w:t>
      </w:r>
    </w:p>
    <w:p>
      <w:r>
        <w:t>Intimazione a. - __________; - PP avv. __________, sede.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