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91.2011.184 vom 23. Mai 2012</w:t>
      </w:r>
    </w:p>
    <w:p>
      <w:r>
        <w:t>TI Tribunale d'appello, 2012-05-23, IT</w:t>
      </w:r>
    </w:p>
    <w:p>
      <w:r>
        <w:rPr>
          <w:b/>
        </w:rPr>
        <w:t xml:space="preserve">Quelle: </w:t>
      </w:r>
      <w:r>
        <w:t>https://mcp.opencaselaw.ch/entscheid/ti_gerichte_91.2011.184</w:t>
      </w:r>
    </w:p>
    <w:p>
      <w:r>
        <w:t>FR: TI_GERICHTE 91.2011.184 du 23 mai 2012</w:t>
      </w:r>
    </w:p>
    <w:p>
      <w:r>
        <w:t>IT: TI_GERICHTE 91.2011.184 del 23 maggio 2012</w:t>
      </w:r>
    </w:p>
    <w:p>
      <w:pPr>
        <w:pStyle w:val="Heading2"/>
      </w:pPr>
      <w:r>
        <w:t>Erwägungen</w:t>
      </w:r>
    </w:p>
    <w:p>
      <w:r>
        <w:rPr>
          <w:b/>
        </w:rPr>
        <w:t>E. 10</w:t>
      </w:r>
    </w:p>
    <w:p>
      <w:r>
        <w:t>giorni dalla comunicazione della sentenza, per scritto oppure oralmente a verbale. Entro lo stesso termine può essere chiesta la motivazione della sentenza.</w:t>
      </w:r>
    </w:p>
    <w:p>
      <w:r>
        <w:t>4.     Intimazione a:</w:t>
      </w:r>
    </w:p>
    <w:p>
      <w:r>
        <w:t>-    seduta stante</w:t>
      </w:r>
    </w:p>
    <w:p>
      <w:r>
        <w:t>-    per raccomandata</w:t>
      </w:r>
    </w:p>
    <w:p>
      <w:r>
        <w:t>Il presidente:                                                                            La segretaria:</w:t>
      </w:r>
    </w:p>
    <w:p>
      <w:r>
        <w:t>Distinta spese               a carico dello Stato,</w:t>
      </w:r>
    </w:p>
    <w:p>
      <w:r>
        <w:t>fr.170.-tassa di giustizia</w:t>
      </w:r>
    </w:p>
    <w:p>
      <w:r>
        <w:t>fr.                             60.-          spese giudiziarie</w:t>
      </w:r>
    </w:p>
    <w:p>
      <w:r>
        <w:t>fr.230.-          totale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