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90.2020.7 vom 31. August 2020</w:t>
      </w:r>
    </w:p>
    <w:p>
      <w:r>
        <w:t>TI Tribunale d'appello, 2020-08-31, IT</w:t>
      </w:r>
    </w:p>
    <w:p>
      <w:r>
        <w:rPr>
          <w:b/>
        </w:rPr>
        <w:t xml:space="preserve">Quelle: </w:t>
      </w:r>
      <w:r>
        <w:t>https://mcp.opencaselaw.ch/entscheid/ti_gerichte_90.2020.7</w:t>
      </w:r>
    </w:p>
    <w:p>
      <w:r>
        <w:t>FR: TI_GERICHTE 90.2020.7 du 31 août 2020</w:t>
      </w:r>
    </w:p>
    <w:p>
      <w:r>
        <w:t>IT: TI_GERICHTE 90.2020.7 del 31 agosto 2020</w:t>
      </w:r>
    </w:p>
    <w:p>
      <w:pPr>
        <w:pStyle w:val="Heading2"/>
      </w:pPr>
      <w:r>
        <w:t>Regeste</w:t>
      </w:r>
    </w:p>
    <w:p>
      <w:r>
        <w:t>Ricorso avverso tassa di giustizia e mancata assegnazione di ripetibili in prima sede</w:t>
      </w:r>
    </w:p>
    <w:p>
      <w:pPr>
        <w:pStyle w:val="Heading2"/>
      </w:pPr>
      <w:r>
        <w:t>Erwägungen</w:t>
      </w:r>
    </w:p>
    <w:p>
      <w:r>
        <w:rPr>
          <w:b/>
        </w:rPr>
        <w:t>E. 1</w:t>
      </w:r>
    </w:p>
    <w:p>
      <w:r>
        <w:t>La competenza del Tribunale cantonale amministrativo discende dall'art. 30 cpv. 1 della legge sullo sviluppo territoriale del 21 giugno 2011 (LST; RL 701.100). Certa è la legittimazione attiva dei ricorrenti (art. 30 cpv. 2 lett. b LST). Il ricorso, tempestivo (art. 30 cpv. 1 LST), è dunque ricevibile in ordine e può essere giudicato sulla base degli atti, senza istruttoria (art. 25 cpv. 1 della legge sulla procedura amministrativa del 24 settembre 2013; LPAmm; RL 165.100). 2.   2.1. A tenore dell'art. 47 cpv. 1 LPAmm l'autorità amministrativa può applicare alle proprie decisioni una tassa di giustizia, che viene stabilita in funzione dell'ampiezza e della difficoltà della causa, del modo di condotta processuale e della situazione finanziaria delle parti. L'importo di questa tassa oscilla tra fr. 100.- e fr. 5'000.- (procedimenti di carattere non pecuniario; lett. a) o fr. 30'000.- (procedimenti a carattere pecuniario; lett. b). Il cpv. 6 dispone che agli enti pubblici e agli organismi incaricati di compiti di diritto pubblico non vengono addossate spese processuali, riservate le procedure in cui agiscono a tutela dei loro interessi pecuniari. La norma - potestativa - lascia all'autorità di ricorso un margine di manovra, censurabile davanti al Tribunale unicamente se integra gli estremi dell'eccesso o dell'abuso del potere di apprezzamento (art. 69 cpv. 1 lett. a LPAmm). 2.2. La tassa di giustizia va posta di regola a carico della parte soc combente e deve rispettare i principi di copertura dei costi e di equivalenza (Messaggio concernente la revisione totale della legge di procedura per le cause amministrative del 19 aprile 1966, n. 6645, in: RVGC anno parlamentare 2013/2014 pag. 1947 segg., pag 1971; Marco Borghi/Guido Corti , Compendio di procedura amministrativa ticinese, Lugano 1997, n. 2 ad art. 28). 3.   3.1. Secondo l''art. 49 cpv. 1 LPAmm le autorità di ricorso condannano la parte soccombente al pagamento di un'indennità alla controparte per le spese necessarie causate dalla controversia (ripetibili). Le ripetibili consistono nella partecipazione all'onorario dell'avvocato (iscritto nell'apposito registro) e alle spese sopportate da questi nell'interesse del cliente (art. 10 del regolamento sulla tariffa per i casi di patrocinio d'ufficio e di assistenza giudiziaria e per la fissazione delle ripetibili del 19 dicembre 2007; RL 178.310). Quanto previsto dall'art. 49 cpv. 1 LPAmm non costituisce una semplice facoltà dell'autorità giudicante, ma un preciso obbligo desumibile dalla lettera stessa della disposizione citata (cfr. Relazione della Commissione speciale per la riforma nel settore della giurisdizione e della procedura amministrativa, in RVGC Sessione ordinaria primaverile 1966 pag. 188 segg., in particolare pag. 247 lett. c). In questo senso la non assegnazione - a torto - di ripetibili alla parte che ne ha fatto richiesta costituisce una violazione del diritto e, come tale, è censurabile dinanzi a questo Tribunale (art. 38 cpv. 2 lett. a della legge cantonale di applicazione della legge federale sulla pianificazione del territorio del 23 maggio 1990 [LALPT; BU 1990, 365] in vigore sino al 31 dicembre 2011; art. 30 cpv. 3 LST, in vigore dal 1° gennaio 2012, che rinvia all'art. 69 LPAmm). 3.2. Soccombente ai sensi della citata disposizione è la parte che propone un ricorso infondato o che resiste senza successo a un ricorso fondato (RDAT 1986 n. 23; Borghi/Corti , op. cit., n.</w:t>
      </w:r>
    </w:p>
    <w:p>
      <w:r>
        <w:rPr>
          <w:b/>
        </w:rPr>
        <w:t>E. 2</w:t>
      </w:r>
    </w:p>
    <w:p>
      <w:r>
        <w:t>Non si preleva la tassa di giustizia. Ai ricorrenti va retrocesso l'importo di fr. 1'500.- anticipato. Lo Stato del Cantone Ticino rifonderà agli insorgenti fr. 800.- a titolo di ripetibili di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