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90.2020.3 vom 11. Juli 2022</w:t>
      </w:r>
    </w:p>
    <w:p>
      <w:r>
        <w:t>TI Tribunale d'appello, 2022-07-11, IT</w:t>
      </w:r>
    </w:p>
    <w:p>
      <w:r>
        <w:rPr>
          <w:b/>
        </w:rPr>
        <w:t xml:space="preserve">Quelle: </w:t>
      </w:r>
      <w:r>
        <w:t>https://mcp.opencaselaw.ch/entscheid/ti_gerichte_90.2020.3</w:t>
      </w:r>
    </w:p>
    <w:p>
      <w:r>
        <w:t>FR: TI_GERICHTE 90.2020.3 du 11 juillet 2022</w:t>
      </w:r>
    </w:p>
    <w:p>
      <w:r>
        <w:t>IT: TI_GERICHTE 90.2020.3 del 11 luglio 2022</w:t>
      </w:r>
    </w:p>
    <w:p>
      <w:pPr>
        <w:pStyle w:val="Heading2"/>
      </w:pPr>
      <w:r>
        <w:t>Erwägungen</w:t>
      </w:r>
    </w:p>
    <w:p>
      <w:r>
        <w:rPr>
          <w:b/>
        </w:rPr>
        <w:t>E. 1</w:t>
      </w:r>
    </w:p>
    <w:p>
      <w:r>
        <w:t>LST, art. 109 cpv. 1 lett. b RLst), nell'esame delle domande di costruzione che riguardano i progetti edilizi fuori dalle zone edificabili (art. 24 e 25 LPT), i nuclei, le rive dei laghi ed i paesaggi d'importanza federale e cantonale e le zone edificabili, in quest'ultimo caso se il progetto comporta un impatto paesaggistico significativo. Per il resto, all'interno della zona fabbricabile, esso è applicato dai comuni, che possono richiedere il parere del Cantone (cfr. art. 109 cpv. 2 LST). Tale principio trova dunque applicazione anche nell'esame delle domande concernenti le antenne di telefonia mobile, ancorché nel loro caso, di principio, non sia applicabile un metro di giudizio troppo severo, posto che la loro ubicazione e il loro aspetto sono spesso dettati da esigenze tecniche (cfr. STF 1C_98/2011 del 22 settembre 2011 consid. 6.1; Christoph Fritzsche/Peter Bösch/Thomas Wipf , Zürcher Planungs- und Baurecht, Zurigo 2011, pag. 674). Per rapporto agli interventi che coinvolgono un bene culturale protetto di interesse cantonale o che avvengono all'interno del suo perimetro di rispetto , la legge sulla protezione dei beni culturali del 13 maggio 1997 (LBC; RL 445.100) impone d'altronde che essi siano autorizzati dall'autorità cantonale, segnatamente dall'Ufficio dei beni culturali (UBC; art. 24 cpv. 1 e 25 cpv. 1 LBC), sentito il parere della Commissione dei beni culturali (CBC; art. 24 cpv. 2 LBC in combinazione con l'art. 19 del regolamento sulla protezione dei beni culturali del 6 aprile 2004; RBC; RL 445.110). La consultazione preliminare della CBC da parte del municipio è invece facoltativa, ma pur sempre possibile, per progetti che coinvolgono beni protetti di interesse locale (art. 25 cpv. 2 LBC). Per quanto attiene invece agli oggetti protetti a livello federale, la legge federale sulla protezione della natura e del paesaggio del 1° luglio 1966 (LPN; RS 451) dispone all'art. 7 cpv. 2 che sia raccolta la perizia della Commissione federale per la protezione della natura e del paesaggio (CFNP) e della Commissione federale dei monumenti storici (CFMS) se, nell'adempimento di un compito delle Confederazione ai sensi dell'art. 2 LPN - quale è, secondo la giurisprudenza federale, il rilascio di una licenza edilizia per la costruzione di un impianto di telefonia mobile (DTF 131 II 545 consid. 2.2; cfr. Peter Heer in: Institut für Schweizerisches und Internationales Baurecht e al. [curatori], Baurecht 2019, Aktuelle Rechtsfragen zum ISOS, pag. 192) - un oggetto iscritto in un inventario federale ai sensi dell'articolo 5 LPN (quale, ad esempio, l'inventario degli insediamenti svizzeri da proteggere d'importanza nazionale [ISOS]) può subire un danno rilevante oppure se sorgono questioni d'importanza fondamentale. Oltretutto, la LPN conferisce alla CFNP e alla CFMS la facoltà di allestire motu proprio una perizia facoltativa in casi gravi (cfr. art. 8 LPN). Da quanto esposto emerge che sia il diritto cantonale sia quello federale prevedono già l'intervento di autorità specializzate al fine di valutare l'inserimento nel paesaggio degli impianti di telefonia mobile e le ripercussioni di questi ultimi in contesti particolarmente sensibili - dal profilo naturalistico, paesaggistico e culturale - e protetti. Alla luce di ciò appare invero eccessivo pretendere l'inoltro sistematico di una perizia di un esperto esterno nel caso di impianti che interessano beni naturali, culturali e paesaggi protetti. A maggior ragione che la legge edilizia cantonale del 13 marzo 1991 (LE; RL 705.100) e il relativo regolamento di applicazione del 9 dicembre 1992 (RLE; RL 705.110) consentono all'autorità, laddove necessario, di chiedere all'istante in licenza ulteriori informazioni e completamenti e, in casi partico-lari, anche l'allestimento di studi speciali o perizie (cfr. art. 11 cpv. 3 RLE). Ne consegue che il cpv. 3 dell'art. 15a NAPR dev'essere annullato. 5.4. In considerazione dell'annullamento dei primi tre capoversi dell'art. 15a NAPR, nella misura in cui il cpv. 4 rinvia a questi ultimi va anch'esso annullato. In merito a tale disposto giova tuttavia rilevare come, contrariamente a quanto asserito dalle insorgenti, esso appaia sorretto da un sufficiente interesse pubblico ritenuto che s'innesta nel solco della giurisprudenza federale secondo cui le ripercussioni immateriali generate dagli impianti di telefonia mobile derivano unicamente da impianti direttamente visibili (né nascosti né mascherati) o indirettamente riconoscibili visivamente in quanto mascherati o nascosti in modo inefficace (cfr. DTF 138 II 173 consid. 7.4.3, 136 I 395 consid. 4.3.2-4.3.3, 133 II 321 consid. 4.3.4; STF 1C_451/2017 del 30 maggio 2018 consid. 2.5.2, citate al consid. 3.1). La norma mira infatti a preservare la qualità di vita nelle zone abitative del piano, conser- vandone intatta l'attrattività. Inoltre non viola il principio della proporzionalità, ritenuto che non tocca le antenne telefoniche opportunamente rese invisibili o indistinguibili per forma e fattezza attraverso l'ausilio di efficaci metodi di mascheramento (come ad esempio l'inserimento dell'impianto nella falda dei tetti, la sua accurata integrazione nei comignoli ecc.), per le quali il Tribunale federale ha infatti rilevato come l'interesse pubblico a prevenire le immissioni immateriali generate delle stesse sia a tal punto contenuto da rendere sproporzionata qualsiasi restrizione della libertà degli operatori di scegliere dove ubicarle (cfr. STF 1C_451/2017 citata consid. 2.6). Esaminando un'analoga disposizione introdotta dal Comune di Rothenburg nel Canton Lucerna, l'Alta Corte federale ha inoltre considerato come la formulazione visuell als solche wahrnehmbare Antenne ("antenna percepibile visivamente come tale") non violi il diritto federale, sebbene sia indeterminata e conceda all'autorità comunale ampio potere d'apprezzamento nello stabilire in quali casi un impianto di telefonia mobile sia da considerarsi tale (cfr. STF 1C_451/2017 citata consid. 4.8.1-4.8.4). 5.5. Può invece essere mantenuto in vigore il cpv. 5 dell'art. 15a NAPR, in quanto il suo contenuto, che si limita a codificare la giurisprudenza in materia di conformità di zona e di altezza delle antenne per la telefonia mobile (cfr. DTF 142 I 26 consid. 4.2, 141 II 245 consid. 2.1, 138 II 173 consid. 5.3, 133 II 321 consid. 4.3.1 e 4.3.2; STA 52.2016.466 del 14 settembre 2018 consid. 2.2, 3.5 ), non viola il diritto. La risoluzione governativa impugnata va dunque confermata limitatamente a tale punto. 6.   6.1. In esito a tutte le considerazioni che precedono, il ricorso è parzialmente accolto e la risoluzione governativa impugnata annullata nella misura in cui approva i capoversi da 1 a 4 dell'art. 15a NAPR. 6.2. La tassa di giustizia è posta in capo alle ricorrenti in proporzione al grado di soccombenza (art. 47 cpv. 1 LPAmm), mentre sono date le premesse per sollevare l'ente pubblico da tale obbligo (art. 47 cpv. 6 LPAmm). Il Comune, tuttavia, è tenuto a versare le ripetibili alle insorgenti, patrocinate, proporzionalmente al grado di successo dell'impugnativa (art. 49 cpv. 1 LPAmm), a valere per entrambe le sedi di ricorso. Per questi motivi, decide: 1.   Il ricorso è parzialmente accolto. §  Di conseguenza la risoluzione del 18 dicembre 2019 (n. 6733) del Consiglio di Stato è annullata nella misura in cui approva l'art. 15a cpv. 1-4 NAPR. 2.   La tassa di giustizia di fr. 900.- è posta a carico delle ricorrenti, alle quali va retrocesso l'importo di fr. 1'100.- versato in eccesso quale anticipo spese. Il Comune verserà alle insorgenti complessivamente fr. 2'500.- per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