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90.2017.31 vom 18. Dezember 2019</w:t>
      </w:r>
    </w:p>
    <w:p>
      <w:r>
        <w:t>TI Tribunale d'appello, 2019-12-18, IT</w:t>
      </w:r>
    </w:p>
    <w:p>
      <w:r>
        <w:rPr>
          <w:b/>
        </w:rPr>
        <w:t xml:space="preserve">Quelle: </w:t>
      </w:r>
      <w:r>
        <w:t>https://mcp.opencaselaw.ch/entscheid/ti_gerichte_90.2017.31</w:t>
      </w:r>
    </w:p>
    <w:p>
      <w:r>
        <w:t>FR: TI_GERICHTE 90.2017.31 du 18 décembre 2019</w:t>
      </w:r>
    </w:p>
    <w:p>
      <w:r>
        <w:t>IT: TI_GERICHTE 90.2017.31 del 18 dicembre 2019</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inoltre la legittimazione attiva degli insorgenti (art. 30 cpv. 2 lett. b LST).</w:t>
      </w:r>
    </w:p>
    <w:p>
      <w:r>
        <w:rPr>
          <w:b/>
        </w:rPr>
        <w:t>E. 1.2</w:t>
      </w:r>
    </w:p>
    <w:p>
      <w:r>
        <w:t>Gli studi relativi alla controversa variante sono stati avviati in vigenza della legge cantonale di applicazione della legge federale sulla pianificazione del territorio del 23 maggio 1990 (LALPT; BU 1990, 365). Il piano dovrà quindi essere esaminato, nel merito, in applicazione di quest'ultima legge (art. 117 LST).</w:t>
      </w:r>
    </w:p>
    <w:p>
      <w:r>
        <w:rPr>
          <w:b/>
        </w:rPr>
        <w:t>E. 1.3</w:t>
      </w:r>
    </w:p>
    <w:p>
      <w:r>
        <w:t>Il gravame può inoltre essere esaminato sulla base degli atti dell'incarto, integrati dalla documentazione richiamata in corso di causa, senza ulteriore istruttoria (art. 25 cpv. 1 della legge sulla procedura amministrativa del 24 settembre 2013; LPAmm; RL 165.100). Neppure gli insorgenti sollecitano, d'altra parte, l'assunzione di prove particolari.</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3.1</w:t>
      </w:r>
    </w:p>
    <w:p>
      <w:r>
        <w:t>La protezione della natura e del paesaggio è sancita a livello costituzionale dall'art. 78 della Costituzione federale della Confederazione Svizzera del 18 aprile 1999 (Cost.; RS 101) ,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dal 1° gennaio 2012, art. 18 segg. LST)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w:t>
      </w:r>
    </w:p>
    <w:p>
      <w:r>
        <w:rPr>
          <w:b/>
        </w:rPr>
        <w:t>E. 3.2</w:t>
      </w:r>
    </w:p>
    <w:p>
      <w:r>
        <w:t>A livello cantonale, oltre all'abrogato decreto legislativo sulla protezione delle bellezze naturali e del paesaggio del 16 gennaio 1940 (DLBN; BU 1940, 82) e all'istituto del piano del paesaggio (art. 28 cpv. 1 LALPT), la LALPT prevede espressamente, all'art. 28 cpv. 2 lett. h,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w:t>
      </w:r>
    </w:p>
    <w:p>
      <w:r>
        <w:rPr>
          <w:b/>
        </w:rPr>
        <w:t>E. 3.3</w:t>
      </w:r>
    </w:p>
    <w:p>
      <w:r>
        <w:t>Nel nostro Cantone è inoltre in vigore, dal 1° novembre 1997, la LBC, che ha abrogato la legge per la protezione dei monumenti storici ed artistici del 15 aprile 1946 ( LMS; BU 1946, 43). Questa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w:t>
      </w:r>
    </w:p>
    <w:p>
      <w:r>
        <w:rPr>
          <w:b/>
        </w:rPr>
        <w:t>E. 3.3.1</w:t>
      </w:r>
    </w:p>
    <w:p>
      <w:r>
        <w:t>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alternarne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w:t>
      </w:r>
    </w:p>
    <w:p>
      <w:r>
        <w:rPr>
          <w:b/>
        </w:rPr>
        <w:t>E. 3.3.2</w:t>
      </w:r>
    </w:p>
    <w:p>
      <w:r>
        <w:t>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w:t>
      </w:r>
    </w:p>
    <w:p>
      <w:r>
        <w:rPr>
          <w:b/>
        </w:rPr>
        <w:t>E. 3.3.3</w:t>
      </w:r>
    </w:p>
    <w:p>
      <w:r>
        <w:t>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inoltre l'art. 27 cpv. IX lett. d del regolamento della legge dello sviluppo territoriale del 20 dicembre 2011; RLst; RL 701.110 ) .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w:t>
      </w:r>
    </w:p>
    <w:p>
      <w:r>
        <w:rPr>
          <w:b/>
        </w:rPr>
        <w:t>E. 3.3.4</w:t>
      </w:r>
    </w:p>
    <w:p>
      <w:r>
        <w:t>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un immobile, risulta tanto dal suo valore intrinseco quanto dalla sua situazione nel contesto spaziale. Il bene deve quindi esser protetto nel suo insieme non potendosi limitare la protezione, come nel passato, a singoli elementi (una facciata, il portale, una colonna, una finestra).</w:t>
      </w:r>
    </w:p>
    <w:p>
      <w:r>
        <w:rPr>
          <w:b/>
        </w:rPr>
        <w:t>E. 4</w:t>
      </w:r>
    </w:p>
    <w:p>
      <w:r>
        <w:t>Una restrizione di diritto pubblico è compatibile con la garanzia della proprietà sancita dall'art. 26 Cost. solo se si fonda su una base legale, è giustificata da un interesse pubblico preponderante e rispetta il principio della proporzionalità (art. 36 cpv. 1-3 Cost.).</w:t>
      </w:r>
    </w:p>
    <w:p>
      <w:r>
        <w:rPr>
          <w:b/>
        </w:rPr>
        <w:t>E. 4.1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ed., Cadenazzo 2002, n. 558-594).</w:t>
      </w:r>
    </w:p>
    <w:p>
      <w:r>
        <w:rPr>
          <w:b/>
        </w:rPr>
        <w:t>E. 4.2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w:t>
      </w:r>
    </w:p>
    <w:p>
      <w:r>
        <w:rPr>
          <w:b/>
        </w:rPr>
        <w:t>E. 5</w:t>
      </w:r>
    </w:p>
    <w:p>
      <w:r>
        <w:t>In concreto, prima di affrontare le critiche sollevate dagli insorgenti, è opportuno ripercorrere brevemente l'iter procedurale seguito dalla variante: -  una serie di studi e approfondimenti hanno portato la Commissione congiunta Città di Lugano - Cantone a formulare già nel giugno 2006 un primo elenco di proposte di edifici da tutelare come beni d'interesse locale per complessivi 98 oggetti; -  il 21 marzo 2008 il Municipio ha inviato all'autorità dipartimentale il piano d'indirizzo per l'esame di sua competenza. Rispetto alla lista del giugno 2006 il piano proponeva la tutela di soli 72 oggetti, aggiungendone però 17 nuovi, per un totale di 89 beni d'interesse locale. La scelta dei beni da tutelare era da ricondurre sostanzialmente a due criteri: il primo consisteva nell'operare una valutazione fra il valore intrinseco di un singolo oggetto per rapporto al suo contesto di riferimento in un'ottica di valorizzazione reciproca (cfr. Rapporto per l'esame preliminare febbraio 2008, pag. 7 e 9) e il secondo nel proteggere singoli oggetti isolati solo in presenza di loro qualità eccezionali (citato Rapporto, pag. 10-11). Le schede allestite per gli oggetti da tutelare riportavano pertanto come criteri di valutazione il valore intrinseco e il valore urbanistico/funzionale dell'oggetto, assegnando un punteggio da 1 a 5; -  il Dipartimento del territorio, con l'esame preliminare del 18 marzo 2009, ha condiviso nel complesso il metodo di valutazione adottato, suggerendo tuttavia a pag. 11 di voler considerare la conferma della tutela di edifici individuati nel 2006 e non inclusi nella variante ed alcune nuove proposte scaturite nell'ambito degli approfondimenti legati al presente esame preliminare e meglio come elencato nell'allegato 3; -  fra il 6 luglio e il 4 agosto 2009 è stata esperita la procedura di informazione e consultazione della popolazione con il deposito presso il Dicastero del territorio dei documenti sottoposti al Dipartimento per l'esame preliminare, unitamente a quest'ultimo; -  pur riconsiderando le proprie valutazioni alla luce delle indicazioni fornite dall'autorità cantonale, il Municipio ha seguito solo in parte quanto indicato nell'esame preliminare. Pertanto con messaggio n. 8077 dell'8 luglio 2010 esso ha proposto al Consiglio comunale l'adozione della variante qui all'esame, contemplante la protezione di complessivi 80 beni culturali d'interesse locale, di cui 63 incusi nella lista del giugno 2006, individuati secondo i due criteri menzionati in sede di piano d'indirizzo (cfr. capitolo 6. "Sintesi dei criteri per la tutela dei Beni culturali (BCL)", pag. 5-6); -  con rapporto del 14 giugno 2011 la Commissione della pianificazione del Consiglio comunale, pur approvando i principi e le generalità della variante, ha proposto d'inserire, oltre a 3 nuovi beni culturali d'interesse cantonale, gli oggetti presenti sulla lista allegata alle Osservazioni del Dipartimento del territorio del 18 marzo 2009 (allegato 3) che erano già presenti nell'elenco elaborato nel giugno 2006 dalla Commissione congiunta Città di Lugano-Cantone , ossia ulteriori 33 beni d'interesse locale (cfr. elenco pag. 14); -  il Municipio è entrato in merito alle richieste commissionali: al fine di favorire la convergenza, si sono riesaminate le proposte di variante, non soltanto con una maggiore larghezza dell'applicazione dei criteri assunti ma, specialmente, con la considerazione di nuovi criteri quali: i valori storici, i valori della tradizione e la memoria affettiva (cfr. Rapporto sulle proposte di nuovi beni culturali formulate dalla Commissione della pianificazione del Consiglio comunale di Lugano dell'agosto 2011, capitolo 2, e Rapporto di pianificazione-aggiornamento ottobre 2011, capitolo 13, pag. 26). L'Esecutivo comunale ha così aderito alla proposta di messa sotto tutela dei 3 beni d'importanza cantonale e di 22 oggetti d'interesse locale, fra i 33 individuati dalla Commissione, di cui ha allestito le relative schede, impostate però in modo diverso da quelle contenute nel piano d'indirizzo; -  la Commissione della pianificazione ha così redatto un nuovo rapporto, datato 29 agosto 2011, formulando un emendamento per la protezione dei nuovi beni culturali condivisi con il Municipio e ritirando il rapporto del 14 giugno 2011; -  nella seduta del 12 settembre 2011 il Consiglio comunale ha approvato il messaggio municipale n. 8077, emendato così come proposto nel rapporto commissionale del 29 agosto 2011. Gli atti informanti la variante sono poi stati posti in pubblicazione dal 23 gennaio al 21 febbraio 2012.</w:t>
      </w:r>
    </w:p>
    <w:p>
      <w:r>
        <w:rPr>
          <w:b/>
        </w:rPr>
        <w:t>E. 6.1</w:t>
      </w:r>
    </w:p>
    <w:p>
      <w:r>
        <w:t>Per quanto attiene all'edificio al mapp. 11__________, il Consiglio di Stato così lo descrive a pag. 112-113 della decisione impugnata, riprendendo i contenuti della scheda n. 2313/17450 dell'Ufficio dei beni culturali: La villa sorge in via __________, la via che corre parallela a __________, in splendida posizione panoramica verso il lago, accanto a__________, che porta a Loreto. Fu costruita per __________, industriale e benefattore, intorno al 1896-1897. Non si conosce al momento il nome dell'architetto progettista. Sorge all'interno di un vasto parco declive di grande impatto scenografico, con muro di recinzione in pietra e malta con copertina e inferriata. Vi si accede da__________ mediante un portale con colonnine e cancello in ferro o da via __________. Nel parco sono presenti, oltre a numerose essenze arboree, una pergola in ferro ad arco con vite, una grotta in tufo e, nell'angolo inferiore, un interessante edificio accessorio con garage a pianterreno e serra nella parte superiore. Davanti all'edificio si apre un terrazzo definito da un muro di sostegno, con parapetto a colonnine in cemento prefabbricato e balaustra in ferro. La villa di tre piani in stile eclettico, molto raffinato, con richiami all'architettura regionalistica e a stilemi rinascimentali, è caratterizzata dalla torretta a nord-est con paramento bugnato a pianterreno e sulle lesene d'angolo, trifora all'ultimo piano e una fitta serie di mensolette sullo sporto del tetto, e dai prospetti ritmati da lesene con capitelli ionici, cornici sagomate delle finestre e balconcini in ferro battuto, finemente lavorati. Il retro dell'edificio è privo di decori architettonici. Il fondo risulta inoltre incluso nell'intorno circoscritto I-Ci XIV e segnalato come elemento 0.0.35 "Villa __________, a tre piani con giardino a valle, in forte evidenza da riva per l'apertura della __________ di lato; fine sec. XIX" con obiettivo di salvaguardia A dall'Inventario federale degli insediamenti svizzeri da proteggere d'importanza nazionale ( cfr. Dipartimento federale dell'Interno [curatore], ISOS Insediamenti di importanza nazionale - Repubblica e Cantone Ticino, vol. 2.2, Luganese, Berna 2006, pag. 286 ).</w:t>
      </w:r>
    </w:p>
    <w:p>
      <w:r>
        <w:rPr>
          <w:b/>
        </w:rPr>
        <w:t>E. 6.2</w:t>
      </w:r>
    </w:p>
    <w:p>
      <w:r>
        <w:t>Incluso nell'elenco delle proposte del giugno 2006, il fondo non era però menzionato nel piano d'indirizzo sottoposto nel 2008 per esame preliminare al Dipartimento, il quale, in tale ambito, lo segnalava nella lista dei beni meritevoli di venir riesaminati in un'ottica di tutela (allegato 3). La proprietà risultava quindi menzionata nell'elenco degli ulteriori beni culturali da proteggere secondo il rapporto commissionale del 14 giugno 2011, che ha poi trovato l'adesione del Municipio e l'inclusione nella lista dei beni approvata dal Consiglio comunale. La scheda che riguarda il fondo, contenuta nel Rapporto di pianificazione-aggiornamento ottobre 2011, riporta la seguente valutazione: VALUTAZIONE NELLA VARIANTE DI PR Presa di posizione dopo esame della Commissione della Pianificazione con l'APPLICAZIONE DEI CRITERI ADOTTATI NELLA VARIANTE La variante di PR non ha trovato le qualità eccezionali per conservarlo come oggetto singolo, all'interno di un quartiere evoluto in gran parte con edifici alti che lo affiancano. Per coerenza d'impostazione (vincolo conservativo a oggetti singoli soltanto se eccezionali) la RICHIESTA DI VINCOLO DEVE ESSERE RESPINTA. Considerazioni Oggetto di buona fattura, ma senza valori eccezionali. Esame e parere con ALLARGAMENTO DEI CRITERI Con una maggiore elasticità per criterio di vincolo su oggetti singoli solo se di valore eccezionale, si può aderire alla proposta della Commissione di CONSERVARE.</w:t>
      </w:r>
    </w:p>
    <w:p>
      <w:r>
        <w:rPr>
          <w:b/>
        </w:rPr>
        <w:t>E. 6.3</w:t>
      </w:r>
    </w:p>
    <w:p>
      <w:r>
        <w:t>Come esposto al considerando 5., dalla genesi della variante qui all'esame si evince anzitutto come nella scelta dei criteri in base ai quali valutare i singoli oggetti e effettuare la ponderazione degli interessi prescritta dall'art. 19 LBC, il Comune ne abbia in un primo tempo privilegiati due, ossia quello relativo alla valorizzazione reciproca bene culturale-contesto e quello relativo alla protezione di singoli beni solo in presenza di loro qualità eccezionali. A tal fine esso ha allestito per ogni singolo oggetto delle schede "Inventario/valutazione" che esaminano i beni sia per rapporto al loro valore intrinseco sia per rapporto al loro valore urbanistico funzionale secondo una scala di valutazione che va da 1 (di disturbo) a 5 (eccellente). Il valore intrinseco degli oggetti è stabilito in base ai seguenti criteri: valore architettonico, interesse tipologico, valore storico/memoria, integrità del bene e stato di conservazione, mentre il loro valore urbanistico e funzionale viene determinato in base alla situazione urbanistica, all'appartenenza a un complesso omogeneo, all'aderenza agli indirizzi di PR, alla difficoltà di gestione derivante dal vincolo e alla limitazione di uso / impossibilità di usufruire di tutti gli indici / diminuzione di valore. Segue un esame sulla necessità di istituire un perimetro di rispetto e sulla presenza di un contesto sensibile: necessità di adeguamento pianificatorio .</w:t>
      </w:r>
    </w:p>
    <w:p>
      <w:r>
        <w:rPr>
          <w:b/>
        </w:rPr>
        <w:t>E. 6.4</w:t>
      </w:r>
    </w:p>
    <w:p>
      <w:r>
        <w:t>In un secondo tempo il Comune ha convenuto, per l'analisi dei 33 nuovi oggetti proposti dalla Commissione della pianificazione, di applicare con maggiore larghezza , rispettivamente in modo più elastico il criterio relativo alla valorizzazione reciproca bene culturale-contesto e quello relativo alla protezione di singoli beni solo in presenza di loro qualità eccezionali, introducendone tre nuovi (cfr. supra consid. 5). In proposito può rimanere aperta la questione a sapere se la modifica in corso di adozione dei criteri di valutazione alla base della variante, da applicare ai 33 oggetti scartati in precedenza, sia lecita o meno. Infatti, se da un lato i ricorrenti non postulano l'annullamento dell'intera variante, ma limitano le loro domande all'espunzione del loro edificio dalla medesima, dall'altro la loro proprietà è stata giudicata applicando con più elasticità un criterio già noto, ovvero quello relativo all'eccezionalità del singolo bene.</w:t>
      </w:r>
    </w:p>
    <w:p>
      <w:r>
        <w:rPr>
          <w:b/>
        </w:rPr>
        <w:t>E. 6.5</w:t>
      </w:r>
    </w:p>
    <w:p>
      <w:r>
        <w:t>Ferma questa premessa si osserva che gli atti che informano la variante non spiegano anzitutto, né in termini generali né con riferimento alla proprietà dei ricorrenti, cosa significhi e secondo quali parametri avvenga un'applicazione più elastica dei due criteri iniziali. Inoltre, per quanto attiene all'immobile che sorge sul mapp. 11__________, non è stato operato nessun esame approfondito, ad esempio in base alla scheda utilizzata per gli altri beni culturali. L'unica valutazione ad esso riferita è quella riportata sopra al consid. 6.2 ( Con una maggiore elasticità per criterio di vincolo su oggetti singoli solo se di valore eccezionale, si può aderire alla proposta della Commissione di CONSERVA-RE) , peraltro silente in merito alle qualità eccezionali che giustificherebbero la messa sotto tutela dell'edificio. Solo in sede di risposta davanti al Consiglio di Stato, il Municipio ha addotto ulteriori elementi a sostegno della protezione della proprietà dei ricorrenti, asserendo, a pag. 6, che esso presenta importanti caratteristiche di pregio che meritano di essere poste sotto tutela per essere salvaguardate. Dopo attenta valutazione il Municipio è infatti rinvenuto sulle sue precedenti scelte, che avevano portato ad un'ingiusta esclusione del fondo dalla lista dei beni culturali d'interesse locale da proteggere, e riconosce il valore culturale dell'immobile (…). Una maggiore elasticità nell'applicazione del criterio relativo agli edifici singoli ha indotto il Municipio ad aderire all'emendamento commissionale . Esso espone poi, a pag. 6-7, le peculiarità dell'edificio, riprendendo sostanzialmente la descrizione contenuta nella scheda dell'Ufficio dei beni culturali (cfr. supra consid. 6.1.), concludendo, a pag. 7, che (…) A non averne dubbio è dunque dato un preminente interesse pubblico all'imposizione del vincolo, per salvaguardare la presenza di una testimonianza importante del nostro passato . Ora, pur ammettendo che l'edificio in questione non sia a priori privo di elementi che potrebbero giustificarne la tutela, a non averne dubbio, tale motivazione, ribadita in questa sede, non risulta suffragata da quei criteri oggettivi e uniformi, che per gli altri beni tutelati dal Comune trovano riscontro nelle relative schede, ponendosi così in contrasto con la giurisprudenza in materia che impone, nel determinare se un oggetto sia o meno degno di protezione, una sua valutazione complessiva e oggettiva, basata su criteri scientifici, che tenga conto del contesto culturale, storico, artistico e urbanistico dell'edificio (DTF 135 I 176 consid. 6.2 e rif. ivi menzionati; STF 1C_55/2011 del 1° aprile 2011 consid. 6.1).</w:t>
      </w:r>
    </w:p>
    <w:p>
      <w:r>
        <w:rPr>
          <w:b/>
        </w:rPr>
        <w:t>E. 6.6</w:t>
      </w:r>
    </w:p>
    <w:p>
      <w:r>
        <w:t>Stupisce quindi che il Governo, confrontato con le gravi carenze di motivazione, abbia approvato la scelta comunale. In definitiva, con il loro agire, entrambe le autorità hanno disatteso l'obbligo di motivare la propria decisione, principio fondamentale ricordato anche dall'art. 46 cpv. 1 LPAmm. Il Tribunale, confrontato con la carenza di motivazione del vincolo, è impossibilitato a verificarne la correttezza. Ciò non può avvenire nemmeno sulla sola base della scheda dell'inventario dei beni culturali di cui si è detto in narrativa. Non spetta infatti a questo Tribunale sopperire alle carenze di motivazione della decisione del Comune con il rischio, magari, di lederne l'autonomia. Spetta ora al Comune valutare compiutamente il valore culturale del bene e, se del caso, adottare una decisione tramite la procedura prevista per le varianti di piano regolatore. 7.   Secondo la giurisprudenza il rinvio dell'incarto all'istanza precedente per procedere a complementi istruttori, con esito aperto, comporta che chi ricorre venga considerato vincente (STA 52.2016.438/440 del 5 aprile 2018 con rinvio a STF 2C_559/2015 del 31 gennaio 2017 consid. 6.1). Il Comune, soccombente, è dispensato dal versamento della tassa di giustizia (art. 47 cpv. 6 LPAmm) mentre non è esonerato dal versamento di ripetibili (art. 49 cpv. 1 LPAmm). Per questi motivi, decide: 1.   Il ricorso è parzialmente accolto . Di conseguenza: 1.1.    la risoluzione del 12 aprile 2017 (n. 1617) del Consiglio di Stato è annullata nella misura in cui approva il vincolo di bene culturale d'interesse locale per l'edificio al mapp. 11__________ (L93); 1.2.    gli atti sono retrocessi al Comune perché proceda a motivare le sue scelte, adottando una variante di piano regolatore. 2.   Non si preleva la tassa di giustizia. Ai ricorrenti è retrocesso l'importo di fr. 2'000.- versato a titolo di anticipo spese. Il Comune rifonderà ai ricorrenti fr. 2'000.- a titolo di ripetibili complessive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