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90.2016.5 vom 14. April 2020</w:t>
      </w:r>
    </w:p>
    <w:p>
      <w:r>
        <w:t>TI Tribunale d'appello, 2020-04-14, IT</w:t>
      </w:r>
    </w:p>
    <w:p>
      <w:r>
        <w:rPr>
          <w:b/>
        </w:rPr>
        <w:t xml:space="preserve">Quelle: </w:t>
      </w:r>
      <w:r>
        <w:t>https://mcp.opencaselaw.ch/entscheid/ti_gerichte_90.2016.5</w:t>
      </w:r>
    </w:p>
    <w:p>
      <w:r>
        <w:t>FR: TI_GERICHTE 90.2016.5 du 14 avril 2020</w:t>
      </w:r>
    </w:p>
    <w:p>
      <w:r>
        <w:t>IT: TI_GERICHTE 90.2016.5 del 14 aprile 2020</w:t>
      </w:r>
    </w:p>
    <w:p>
      <w:pPr>
        <w:pStyle w:val="Heading2"/>
      </w:pPr>
      <w:r>
        <w:t>Regeste</w:t>
      </w:r>
    </w:p>
    <w:p>
      <w:r>
        <w:t>Ricorso avverso la mancata attribuzione di ripetibili in prima sede</w:t>
      </w:r>
    </w:p>
    <w:p>
      <w:pPr>
        <w:pStyle w:val="Heading2"/>
      </w:pPr>
      <w:r>
        <w:t>Erwägungen</w:t>
      </w:r>
    </w:p>
    <w:p>
      <w:r>
        <w:rPr>
          <w:b/>
        </w:rPr>
        <w:t>E. 1</w:t>
      </w:r>
    </w:p>
    <w:p>
      <w:r>
        <w:t>La competenza del Tribunale cantonale amministrativo discende dall'art. 30 cpv. 1 della legge sullo sviluppo territoriale del 21 giugno 2011 (LST; RL 701.100). Certa è la legittimazione attiva dei ricorrenti (art. 30 cpv. 2 lett. b LST). Il ricorso, tempestivo (art. 30 cpv. 1 LST), è dunque ricevibile in ordine e può essere giudicato sulla base degli atti, senza istruttoria (art. 25 cpv. 1 della legge sulla procedura amministrativa del 24 settembre 2013; LPAmm; RL 165.100).</w:t>
      </w:r>
    </w:p>
    <w:p>
      <w:r>
        <w:rPr>
          <w:b/>
        </w:rPr>
        <w:t>E. 2</w:t>
      </w:r>
    </w:p>
    <w:p>
      <w:r>
        <w:t>febbraio 2000 consid. 2). Non occorre che la motivazione si esprima su tutti gli argomenti di fatto o di diritto. L'autorità può limitarsi ai punti essenziali (RDAT I-1999 n. 27 consid. 3b).</w:t>
      </w:r>
    </w:p>
    <w:p>
      <w:r>
        <w:rPr>
          <w:b/>
        </w:rPr>
        <w:t>E. 2.1</w:t>
      </w:r>
    </w:p>
    <w:p>
      <w:r>
        <w:t>La motivazione della decisione - obbligo previsto dall'art. 46 cpv. 1 LPAmm e componente del diritto di essere sentito garantito dall'art. 29 della Costituzione federale della Confederazione svizzera del 18 aprile 1999 (Cost. RS 101) - può essere ritenuta sufficiente quanto l'autorità menziona brevemente le ragioni che l'hanno spinta a decidere in un senso piuttosto che in un altro, ponendo in questo modo le parti nella situazione di rendersi conto della portata del giudizio e delle eventuali possibilità d'impugnazione dello stesso (DTF 134 I 83 consid. 4.1, 129 I 232 consid. 3.2, 126 I 97 consid. 2b, 121 I 54 consid. 2c, 117 Ib 64 consid. 4), oppure quando risulta implicitamente dai diversi considerandi che compongono la decisione (STF 2C_505/2009 del 29 marzo 2010 consid. 3.1) o da rinvii ad altri atti (cfr. STF 2A.199/2003 del 10 ottobre 2003 consid. 2.2.2 e 1P.708/1999 del</w:t>
      </w:r>
    </w:p>
    <w:p>
      <w:r>
        <w:rPr>
          <w:b/>
        </w:rPr>
        <w:t>E. 2.2</w:t>
      </w:r>
    </w:p>
    <w:p>
      <w:r>
        <w:t>In concreto la decisione del Consiglio di Stato è totalmente silente in merito ai motivi che l'hanno indotto a negare ai ricorrenti l'assegnazione di ripetibili. Tuttavia, in sede di risposta, la Sezione ha colmato tale lacuna, spiegando quanto segue: La non approvazione del comparto industriale a valle della linea ferroviaria è fondata sul fatto che la pianificazione comunale non ha tenuto debitamente conto del coordinamento tra i pericoli naturali cagionati dal fenomeno di alluvionamento e le nuove prescrizioni pianificatorie. Nel ritornare gli atti al Comune, il CdS ha fornito pure alcune considerazioni di ordine generale utili allo stesso nell'ambito dell'operazione che è stato chiamato a svolgere per ovviare alla carenza sopracitata. Ora, concludere come fanno i ricorrenti, che tali considerazioni inserite a titolo abbondanziale dal Governo equivalgano all'accoglimento formale e materiale delle censure ricorsuali, è alquanto ardito. Questa tesi non può essere minimamente condivisa poiché inesatta e non corrispondente ai fatti sopraesposti. Alla luce di queste motivazioni e ritenuto che in ogni caso, le censure sollevate dagli insorgenti non tendono a contestare l'adeguatezza della decisione, di modo che il potere cognitivo del Tribunale coincide nel caso concreto con quello del Consiglio di Stato (art. 69 cpv.1 e 2 LPAmm), occorre concludere che la violazione del diritto di essere sentito è stata sanata in questa sede.</w:t>
      </w:r>
    </w:p>
    <w:p>
      <w:r>
        <w:rPr>
          <w:b/>
        </w:rPr>
        <w:t>E. 3.1</w:t>
      </w:r>
    </w:p>
    <w:p>
      <w:r>
        <w:t>Secondo l'art. 49 cpv. 1 LPAmm, le autorità di ricorso condannano la parte soccombente al pagamento di un'indennità alla controparte per le spese necessarie causate dalla controversia (ripetibili). Le ripetibili consistono nella partecipazione all'onorario dell'avvocato (iscritto nell'apposito registro) e alle spese sopportate da questi nell'interesse del cliente (art. 10 del regolamento sulla tariffa per i casi di patrocinio d'ufficio e di assistenza giudiziaria e per la fissazione delle ripetibili del 19 dicembre 2007; RL 178.310). Quanto previsto dall'art. 49 cpv. 1 LPAmm non costituisce una semplice facoltà dell'autorità giudicante, ma un preciso obbligo desumibile dalla lettera stessa della disposizione citata (cfr. Relazione della Commissione speciale per la riforma nel settore della giurisdizione e della procedura amministrativa, in RVGC Sessione ordinaria primaverile 1966 pag. 188 segg., in particolare pag. 247 lett. c). In questo senso la non assegnazione - a torto - di ripetibili alla parte che ne ha fatto richiesta costituisce una violazione del diritto e, come tale, è censurabile dinanzi a questo Tribunale (art. 38 cpv. 2 lett. a della legge cantonale di applicazione della legge federale sulla pianificazione del territorio del 23 maggio 1990 [LALPT; BU 1990, 365] in vigore sino al 31 dicembre 2011; art. 30 cpv. 3 LST, in vigore dal 1° gennaio 2012, che rinvia all'art. 69 LPAmm).</w:t>
      </w:r>
    </w:p>
    <w:p>
      <w:r>
        <w:rPr>
          <w:b/>
        </w:rPr>
        <w:t>E. 3.2</w:t>
      </w:r>
    </w:p>
    <w:p>
      <w:r>
        <w:t>Soccombente ai sensi della citata disposizione è la parte che propone un ricorso infondato o che resiste senza successo a un ricorso fondato (RDAT 1986 n. 23; Marco Borghi/Guido Corti , Compendio di procedura amministrativa ticinese, Lugano 1997, n. 2 ad art. 31). Ininfluente al riguardo è che i motivi alla base della decisione siano di natura formale o materiale (cfr. Marcel Maillard in: Bernhard Waldmann/Philippe Weissenberger [curatori], Praxiskommentar VwVG, II ed., Zurigo/ Basilea/Ginevra 2016, n. 14 ad art. 63), rispettivamente quanto siano pertinenti le singole censure (cfr. Kaspar Plüss in: Alain Griffel [curatore], Kommentar VRG, III ed., Zurigo/ Basilea/Ginevra 2014, n. 51 ad § 13). L'indennità di parte dev'essere riconosciuta in funzione delle conclusioni formulate dal ricorrente, messe in relazione con l'esito della procedura ricorsuale avverso il giudizio impugnato (DTF 123 V 156 consid. 3c, 123 V 159 consid. 4b; Maillard in: op. cit., ibidem ). Se la parte risulta solo parzialmente vincente, l'indennità verrà ridotta in proporzione ( Maillard in: op. cit., n. 16 e 17 ad art. 64).</w:t>
      </w:r>
    </w:p>
    <w:p>
      <w:r>
        <w:rPr>
          <w:b/>
        </w:rPr>
        <w:t>E. 3.3</w:t>
      </w:r>
    </w:p>
    <w:p>
      <w:r>
        <w:t>Nella fattispecie, RI 1 e la RI 2 hanno postulato davanti al Consiglio di Stato l'integrale annullamento della risoluzione del 25 ottobre 2012 del Consiglio comunale di Arbedo-Castione. Il Consiglio di Stato, nella risoluzione qui impugnata, ha approvato la revisione, negando tuttavia la sanzione alla pianificazione relativa al comparto posto ad ovest della ferrovia (cfr. supra consid. C). La richiesta degli insorgenti è dunque stata parzialmente accolta. Poco importa che i motivi alla base della mancata approvazione siano da ricondurre in prima linea alla questione inerente ai pericoli di alluvionamento e che per motivi di economia processuale il Governo non abbia poi evaso nel dettaglio le critiche di merito sollevate dai ricorrenti, ritenendole, impropriamente, prive d'oggetto . Infatti, a prescindere dal fatto che il Governo, nel dirimere il loro ricorso, ha richiamato integralmente non solo le considerazioni contenute nel capitolo 4.1.1. a. Pericoli alluvionali , ma anche quelle esposte al c apitolo 4.1.2. d. Proposte per il Comparto a ovest della ferrovia (cfr. decisione impugnata, pag. 62), dove erano state avanzate tutta una serie di riserve di merito in relazione alla pianificazione proposta (cfr. supra consid. C), come visto sopra, determinante per il riconoscimento di un'indennità per ripetibili è il raffronto fra le conclusioni formulate nel gravame e l'esito della procedura ricorsuale. Le motivazioni addotte dalla Sezione nella risposta (cfr. supra consid. 2.2) risultano pertanto in palese contrasto con il diritto applicabile e sono pertanto inconferenti. I qui ricorrenti andavano dunque considerati parzialmente vincenti dinanzi al Consiglio di Stato, mentre il Comune, che si era opposto all'accoglimento del ricorso, quale unico antagonista, in quanto soccombente, doveva sopportare i costi della procedura di prima istanza (RDAT II-1993 n. 19).</w:t>
      </w:r>
    </w:p>
    <w:p>
      <w:r>
        <w:rPr>
          <w:b/>
        </w:rPr>
        <w:t>E. 3.4</w:t>
      </w:r>
    </w:p>
    <w:p>
      <w:r>
        <w:t>In esito alle pregresse considerazioni, il ricorso deve essere parzialmente accolto e l'incarto retrocesso al Governo affinché riformi il p.to n. 1 del dispositivo, nel senso di accogliere il ricorso per i punti a-g, e assegni le dovute ripetibili ai ricorrenti, proporzionalmente al loro grado di successo. Il rinvio s'impone in considerazione del potere di apprezzamento di cui gode l'autorità giudicante nella determinazione delle ripetibili, per cui il Tribunale cantonale amministrativo non può sostituirsi al Consiglio di Stato nell'esercizio di tale potere.</w:t>
      </w:r>
    </w:p>
    <w:p>
      <w:r>
        <w:rPr>
          <w:b/>
        </w:rPr>
        <w:t>E. 4</w:t>
      </w:r>
    </w:p>
    <w:p>
      <w:r>
        <w:t>Secondo la giurisprudenza il rinvio dell'incarto all'istanza precedente per procedere a complementi istruttori, con esito aperto, comporta che chi ricorre venga considerato vincente (STA 52.2016.438/440 del 5 aprile 2018 con rinvio a STF 2C_559/2015 del 31 gennaio 2017 consid. 6.1). Visto l'esito si rinuncia al prelievo di tassa e spese di giustizia (art. 47 cpv. 1 e 6 LPAmm). Lo Stato deve essere considerato soccombente nella presente procedura e si giustifica pertanto l'assegnazione di ripetibili per questa sede, mentre il Comune, che non si è opposto all'accoglimento del gravame, può esserne mandato esente (art. 49 cpv. 1 LPAmm). Per questi motivi, decide: 1.    Il ricorso è parzialmente accolto . §.  Gli atti sono ritornati al Consiglio di Stato affinché riformi il p.to n. 1 del dispositivo della risoluzione del 23 dicembre 2015 (n. 6003) relativo all'evasione del ricorso di RI 1 e della RI 2, nel senso indicato al consid. 3.4., e statuisca sull'assegnazione delle ripetibili di prima istanza. 2.    Non si preleva la tassa di giustizia. Ai ricorrenti va retrocesso l'importo di fr. 3'000.- versato quale anticipo spese. Lo Stato del Cantone Ticino rifonderà ai ricorrenti fr. 900.- a titolo di ripetibili di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