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90.2016.34 vom 10. Dezember 2018</w:t>
      </w:r>
    </w:p>
    <w:p>
      <w:r>
        <w:t>TI Tribunale d'appello, 2018-12-10, IT</w:t>
      </w:r>
    </w:p>
    <w:p>
      <w:r>
        <w:rPr>
          <w:b/>
        </w:rPr>
        <w:t xml:space="preserve">Quelle: </w:t>
      </w:r>
      <w:r>
        <w:t>https://mcp.opencaselaw.ch/entscheid/ti_gerichte_90.2016.34</w:t>
      </w:r>
    </w:p>
    <w:p>
      <w:r>
        <w:t>FR: TI_GERICHTE 90.2016.34 du 10 décembre 2018</w:t>
      </w:r>
    </w:p>
    <w:p>
      <w:r>
        <w:t>IT: TI_GERICHTE 90.2016.34 del 10 dicembre 2018</w:t>
      </w:r>
    </w:p>
    <w:p>
      <w:pPr>
        <w:pStyle w:val="Heading2"/>
      </w:pPr>
      <w:r>
        <w:t>Regeste</w:t>
      </w:r>
    </w:p>
    <w:p>
      <w:r>
        <w:t>Adozione di una zona di pianificazione a tutela dei beni culturali</w:t>
      </w:r>
    </w:p>
    <w:p>
      <w:pPr>
        <w:pStyle w:val="Heading2"/>
      </w:pPr>
      <w:r>
        <w:t>Erwägungen</w:t>
      </w:r>
    </w:p>
    <w:p>
      <w:r>
        <w:rPr>
          <w:b/>
        </w:rPr>
        <w:t>E. 31</w:t>
      </w:r>
    </w:p>
    <w:p>
      <w:r>
        <w:t>consid. 2b). In altre parole, occorre verificare se il provvedimento rispetta il principio della proporzionalità. Nel caso in esame, i requisiti appena enumerati sono senz'altro adempiuti. 8.2. Sull'idoneità della misura contestata non possono sussistere dubbi: essa permette efficacemente di tutelare il margine di manovra delle autorità pianificatorie nell'approntare la variante che istituirà la tutela degli oggetti, proteggendo questi ultimi da interventi potenzialmente pregiudizievoli. Nel contempo, essa si rivela pure necessaria, non essendo dato di vedere un provvedimento meno incisivo. Nemmeno sacrifica sproporzionatamente l'interesse dei privati. Intanto, la zona di pianificazione non vieta tout court qualsiasi intervento edilizio al suo interno, ma unicamente quelli che potrebbero pregiudicare la futura pianificazione. Ciò significa che, anche a seconda del grado di maturazione di quest'ultima, determinati progetti edilizi che non vi si pongono in contrasto possono comunque essere approvati. Inoltre essa permette addirittura, a determinate condizioni, di erigere nuovi edifici sui fondi da essa individuati (cfr. anche supra , consid. 5.). Contrariamente a quanto sostiene il ricorrente, l'inclusione di tutto il mapp. __________ nel provvedimento non risulta di conseguenza eccessiva . Da ultimo va ricordato che un apprezzabile elemento di proporzionalità è già insito nella natura stessa del provvedimento, la cui durata modulabile potrà venir ridotta a dipendenza dello stato di avanzamento dei lavori di revisione . In definitiva, esso si appalesa senz'altro sopportabile. 9.   In esito alle considerazioni che precedono, il ricorso dev'essere respinto. La tassa di giustizia segue la soccombenza del ricorrente (art. 47 cpv. 1 LPAmm), mentre non si giustifica l'assegnazione di ripetibili (art. 49 cpv. 1 LPAmm ). Per questi motivi, dichiara e pronuncia: 1.   Il ricorso è respinto . 2.   La tassa di giustizia di fr. 1'500.-, già anticipata dal ricorrente, rimane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