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90.2015.125 vom 12. Juli 2017</w:t>
      </w:r>
    </w:p>
    <w:p>
      <w:r>
        <w:t>TI Tribunale d'appello, 2017-07-12, IT</w:t>
      </w:r>
    </w:p>
    <w:p>
      <w:r>
        <w:rPr>
          <w:b/>
        </w:rPr>
        <w:t xml:space="preserve">Quelle: </w:t>
      </w:r>
      <w:r>
        <w:t>https://mcp.opencaselaw.ch/entscheid/ti_gerichte_90.2015.125</w:t>
      </w:r>
    </w:p>
    <w:p>
      <w:r>
        <w:t>FR: TI_GERICHTE 90.2015.125 du 12 juillet 2017</w:t>
      </w:r>
    </w:p>
    <w:p>
      <w:r>
        <w:t>IT: TI_GERICHTE 90.2015.125 del 12 luglio 2017</w:t>
      </w:r>
    </w:p>
    <w:p>
      <w:pPr>
        <w:pStyle w:val="Heading2"/>
      </w:pPr>
      <w:r>
        <w:t>Regeste</w:t>
      </w:r>
    </w:p>
    <w:p>
      <w:r>
        <w:t>Revisione di un piano regolatore - attribuzione di un fondo alla zona edificabile contrario al principio del compenso</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dell'insorgente (art. 30 cpv. 2 lett. b e c LST).</w:t>
      </w:r>
    </w:p>
    <w:p>
      <w:r>
        <w:rPr>
          <w:b/>
        </w:rPr>
        <w:t>E. 1.2</w:t>
      </w:r>
    </w:p>
    <w:p>
      <w:r>
        <w:t>Poiché la revisione del piano regolatore in esame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senza ulteriore istruttoria (art. 25 cpv. 1 legge sulla procedura amministrativa del 24 settembre 2013; LPAmm; RL 3.3.1.1). Sulla scorta di un apprezzamento anticipato, il Tribunale non ritiene difatti necessario procedere all'esperimento del sopralluogo, il cui presumibile risultato non porterebbe ad alcun nuovo chiarimento ai fini del giudizio (RtiD II-2004 n. 13 consid. 3a con rinvii; RDAT I-1995 n. 51 consid. 2; Marco Borghi/ Guido Corti , Compendio di procedura amministrativa ticinese, Lugano 1997, ad art. 18 n. 1c). La situazione di fatto che sta alla base della controversia risulta infatti in modo sufficientemente chiaro dalla documentazione versata agli atti e dalle immagini visibili su Google Map e Street View (cfr., a quest'ultimo riguardo, STF 1C_382/2015 del 22 aprile 2016 consid. 6.5, 1C_138/2014 del 3 ottobre 2014 consid. 2.3, 1C_326/2011 del 22 marzo 2012 consid. 2.1).</w:t>
      </w:r>
    </w:p>
    <w:p>
      <w:r>
        <w:rPr>
          <w:b/>
        </w:rPr>
        <w:t>E. 2</w:t>
      </w:r>
    </w:p>
    <w:p>
      <w:r>
        <w:t>.1.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all'art. 69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w:t>
      </w:r>
    </w:p>
    <w:p>
      <w:r>
        <w:rPr>
          <w:b/>
        </w:rPr>
        <w:t>E. 3.1</w:t>
      </w:r>
    </w:p>
    <w:p>
      <w:r>
        <w:t>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la giurisprudenza appena citata; inoltre: Waldmann/Hänni , op. cit., n. 1 e 8 ad art. 15; Alexandre Flückiger/Stéphane Grodecki , Commentario LPT, n. 40-47 ad art. 15; Piermarco Zen-Ruffinen/ Christine Guy-Ecabert , Aménagement du territoire, construction, expropriation, Berna 2001, n. 314).</w:t>
      </w:r>
    </w:p>
    <w:p>
      <w:r>
        <w:rPr>
          <w:b/>
        </w:rPr>
        <w:t>E. 3.2.1</w:t>
      </w:r>
    </w:p>
    <w:p>
      <w:r>
        <w:t>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w:t>
      </w:r>
    </w:p>
    <w:p>
      <w:r>
        <w:rPr>
          <w:b/>
        </w:rPr>
        <w:t>E. 3.2.2</w:t>
      </w:r>
    </w:p>
    <w:p>
      <w:r>
        <w:t>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w:t>
      </w:r>
    </w:p>
    <w:p>
      <w:r>
        <w:rPr>
          <w:b/>
        </w:rPr>
        <w:t>E. 3.3.1</w:t>
      </w:r>
    </w:p>
    <w:p>
      <w:r>
        <w:t>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w:t>
      </w:r>
    </w:p>
    <w:p>
      <w:r>
        <w:rPr>
          <w:b/>
        </w:rPr>
        <w:t>E. 3.3.2</w:t>
      </w:r>
    </w:p>
    <w:p>
      <w:r>
        <w:t>L'art. 38 a LPT è concretizzato dall'art. 52 a OPT (pure in vigore dal 1° maggio 2014), il cui cpv. 1 specifica che se al momento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w:t>
      </w:r>
    </w:p>
    <w:p>
      <w:r>
        <w:rPr>
          <w:b/>
        </w:rPr>
        <w:t>E. 3.3.3</w:t>
      </w:r>
    </w:p>
    <w:p>
      <w:r>
        <w:t>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 4.   4.1. In concreto, la revisione all'esame era pendente per approvazione al momento dell'entrata in vigore, il 1° maggio 2014, della modifica della LPT. Alla luce di quanto appena spiegato, trova dunque applicazione l'art. 38 a LPT e, pertanto, ogni nuovo azzonamento può essere approvato unicamente se è compensato con un dezonamento di una superficie equivalente nel Cantone. Aspetto che gli atti della revisione, elaborati prima dell'entrata in vigore della citata modifica, manifestamente non affrontano. La tematica dell'estensione delle aree fabbricabili viene infatti affrontata in termini generali di contenibilità del piano, contrapponendo a un incremento complessivo della zona edificabile di ca. 40'070 mq (di cui ca. 11'715 mq riguardanti il comparto Pezzolo) una sua riduzione di ca. 3'050 mq (cfr. Rapporto di pianificazione giugno 2010, p.ti 6.2.3. pag. 19, e 6.3.3, pag. 26-29, e risoluzione impugnata, p.to 6.2.1., lett. c, pag. 98-100). A ogni modo, appare d'acchito escluso che qui possa trovare applicazione una delle ipotesi di cui all'art. 52 a cpv. 2 lett. b e lett. c OPT, siccome trattano di fattispecie che manifestamente esulano dalla materia del contendere. Come rettamente ritenuto dal Consiglio di Stato, il divisato ampliamento della zona edificabile in località Pezzolo non può beneficiare nemmeno dell'ipotesi di cui alla lett. a, siccome non risulta, e nemmeno viene sostenuto, che questo verrebbe compensato. 4.2. Poiché la revisione comporta un ampliamento della zona fabbricabile contrario all'art. 38 a cpv. 2 LPT, non occorre esaminare oltre se l'azzonamento in località Pezzolo risulta conforme all'art. 15 vLPT (cfr. STF 1C_197/2015 del 2 febbraio 2016 consid. 2.5.e 2.6.). 4.3. In questo contesto va respinta la critica rivolta al Governo di non aver evaso celermente la revisione, in modo da scongiurare l'applicazione del nuovo diritto, posto che la revisione della LPT è entrata in vigore dieci mesi dopo la trasmissione dei 154 ricorsi interposti contro gli atti in pubblicazione e delle relative osservazioni, avvenuta il 4 luglio 2013. 5.   In considerazione di quanto precede, anche la richiesta di attribuire i mapp. 312 e 313 alla zona artigianale va respinta. Infatti, come rettamente rileva il Governo a pag. 194 della risoluzione impugnata, vista la mancata approvazione della limitrofa zona, "(…) un azzonamento edificabile a sé stante di tipo artigianale-industriale riguardante una singola superficie libera di ca. 900 mq di superficie" sarebbe privo di logica pianificatoria. 6.   Per tutti questi motivi il ricorso dev'essere respinto. La tassa di giustizia segue la soccombenza, ritenuto che il comune ne va esente (art. 47 cpv. 1 e 6 LPAmm), mentre l'assenza di parti vittoriose patrocinate permette di prescindere dall'assegnare ripetibili (art 49 cpv. 1 LPAmm). Per questi motivi, dichiara e pronuncia: 1.   Il ricorso è respinto . 2.   La tassa di giustizia è posta a carico del ricorrente nella misura di fr. 1'200.-. Al ricorrente dev'essere retrocesso l'importo di fr. 800.-, versato in esubero all'anticipo delle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