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90.2015.123 vom 12. Juli 2017</w:t>
      </w:r>
    </w:p>
    <w:p>
      <w:r>
        <w:t>TI Tribunale d'appello, 2017-07-12, IT</w:t>
      </w:r>
    </w:p>
    <w:p>
      <w:r>
        <w:rPr>
          <w:b/>
        </w:rPr>
        <w:t xml:space="preserve">Quelle: </w:t>
      </w:r>
      <w:r>
        <w:t>https://mcp.opencaselaw.ch/entscheid/ti_gerichte_90.2015.123</w:t>
      </w:r>
    </w:p>
    <w:p>
      <w:r>
        <w:t>FR: TI_GERICHTE 90.2015.123 du 12 juillet 2017</w:t>
      </w:r>
    </w:p>
    <w:p>
      <w:r>
        <w:t>IT: TI_GERICHTE 90.2015.123 del 12 luglio 2017</w:t>
      </w:r>
    </w:p>
    <w:p>
      <w:pPr>
        <w:pStyle w:val="Heading2"/>
      </w:pPr>
      <w:r>
        <w:t>Regeste</w:t>
      </w:r>
    </w:p>
    <w:p>
      <w:r>
        <w:t>Revisione di un piano regolatore - mantenimento di una parte di un fondo in zona agricola</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degli insorgenti (art. 30 cpv. 2 lett. b LST).</w:t>
      </w:r>
    </w:p>
    <w:p>
      <w:r>
        <w:rPr>
          <w:b/>
        </w:rPr>
        <w:t>E. 1.2</w:t>
      </w:r>
    </w:p>
    <w:p>
      <w:r>
        <w:t>Poiché la controversa revisione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 Sulla scorta di un apprezzamento anticipato, il Tribunale non ritiene difatti necessario procedere all'esperimento del sopralluogo, il cui presumibile risultato non porterebbe ad alcun nuovo chiarimento ai fini del giudizio (RtiD II-2004 n. 13 consid. 3a con rinvii; RDAT I-1995 n. 51 consid. 2; Marco Borghi/ Guido Corti , Compendio di procedura amministrativa ticinese, Lugano 1997, ad art. 18 n. 1c). La situazione di fatto che sta alla base della controversia risulta infatti in modo sufficientemente chiaro dalla documentazione versata agli atti e dalle immagini visibili su Google Map e Street View (cfr., a quest'ultimo riguardo, STF 1C_382/2015 del 22 aprile 2016 consid. 6.5, 1C_138/2014 del 3 ottobre 2014 consid. 2.3, 1C_326/2011 del 22 marzo 2012 consid. 2.1).</w:t>
      </w:r>
    </w:p>
    <w:p>
      <w:r>
        <w:rPr>
          <w:b/>
        </w:rPr>
        <w:t>E. 2</w:t>
      </w:r>
    </w:p>
    <w:p>
      <w:r>
        <w:t>1.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all'art. 69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w:t>
      </w:r>
    </w:p>
    <w:p>
      <w:r>
        <w:rPr>
          <w:b/>
        </w:rPr>
        <w:t>E. 3.1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Waldmann/Hänni , op. cit., n. 1 e 8 ad art. 15; Alexandre Flückiger/Stéphane Grodecki , Commentario LPT, n. 40-47 ad art. 15; Piermarco Zen-Ruffinen/ Christine Guy-Ecabert , Aménagement du territoire, construction, expropriation, Berna 2001, n. 314).</w:t>
      </w:r>
    </w:p>
    <w:p>
      <w:r>
        <w:rPr>
          <w:b/>
        </w:rPr>
        <w:t>E. 3.2.1</w:t>
      </w:r>
    </w:p>
    <w:p>
      <w:r>
        <w:t>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3.2.2</w:t>
      </w:r>
    </w:p>
    <w:p>
      <w:r>
        <w:t>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w:t>
      </w:r>
    </w:p>
    <w:p>
      <w:r>
        <w:rPr>
          <w:b/>
        </w:rPr>
        <w:t>E. 3.3.1</w:t>
      </w:r>
    </w:p>
    <w:p>
      <w:r>
        <w:t>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w:t>
      </w:r>
    </w:p>
    <w:p>
      <w:r>
        <w:rPr>
          <w:b/>
        </w:rPr>
        <w:t>E. 3.3.2</w:t>
      </w:r>
    </w:p>
    <w:p>
      <w:r>
        <w:t>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w:t>
      </w:r>
    </w:p>
    <w:p>
      <w:r>
        <w:rPr>
          <w:b/>
        </w:rPr>
        <w:t>E. 3.3.3</w:t>
      </w:r>
    </w:p>
    <w:p>
      <w:r>
        <w:t>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w:t>
      </w:r>
    </w:p>
    <w:p>
      <w:r>
        <w:rPr>
          <w:b/>
        </w:rPr>
        <w:t>E. 4</w:t>
      </w:r>
    </w:p>
    <w:p>
      <w:r>
        <w:t>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457 segg., 471, con rinvii).</w:t>
      </w:r>
    </w:p>
    <w:p>
      <w:r>
        <w:rPr>
          <w:b/>
        </w:rPr>
        <w:t>E. 5</w:t>
      </w:r>
    </w:p>
    <w:p>
      <w:r>
        <w:t>In concreto, la revisione all'esame era pendente per approvazione al momento dell'entrata in vigore, il 1° maggio 2014, della modifica della LPT. Alla luce di quanto appena spiegato, trova dunque applicazione l'art. 38 a LPT e, pertanto, ogni nuovo azzonamento può essere approvato unicamente se è compensato con un dezonamento di una superficie equivalente nel Cantone. Aspetto che gli atti della revisione, elaborati prima dell'entrata in vigore della citata modifica, manifestamente non affrontano. La tematica dell'estensione delle aree fabbricabili viene infatti affrontata in termini generali di contenibilità del piano, contrapponendo a un incremento complessivo della zona edificabile di ca. 40'070 mq una sua riduzione di ca. 3'050 mq (cfr. Rapporto di pianificazione giugno 2010, p.ti 6.2.3. pag. 19, e 6.3.3, pag. 26-29, e risoluzione impugnata, p.to 6.2.1., lett. c, pag. 98-100). A ogni modo, appare d'acchito escluso che qui possa trovare applicazione una delle ipotesi di cui all'art. 52a cpv. 2 lett. b e lett. c OPT, siccome trattano di fattispecie che manifestamente esulano dalla materia del contendere. Come rettamente ritenuto dal Consiglio di Stato, il divisato ampliamento della zona edificabile non può beneficiare nemmeno dell'ipotesi di cui alla lett. a, siccome non risulta, e nemmeno viene sostenuto, che questo verrebbe compensato. 6.   A titolo abbondanziale e in considerazione dell'esiguità della superficie in parola, si osserva che l'ampliamento richiesto non rispetta nemmeno i requisiti dell'art. 15 vLPT. Come visto al consid. 3.1., perché un fondo possa essere attribuito alla zona fabbricabile occorre che ci si trovi, come condizione minima, in una delle ipotesi previste dall'art. 15 vLPT, applicabile al caso concreto (cfr. DTF 141 II 393 consid. 3, STF 1C_54/2015 del 2 novembre 2015 consid. 3.2.; Messaggio concernente la revisione parziale della legge sulla pianificazione del territorio del 20 gennaio 2010, in: FF 2010, 931, cap. 2.3.4), ciò che non è il caso per la porzione del mapp. 240 che i ricorrenti vorrebbero veder inclusa in zona edificabile. 6.1. Innanzitutto, contrariamente a quanto essi asseriscono, essa non appartiene ai terreni edificati in larga misura ai sensi restrittivi intesi dalla giurisprudenza. Con terreni edificati in larga misura, secondo l'art. 15 lett. a vLPT, si intende infatti essenzialmente il territorio costruito in maniera compatta, oltre eventualmente singole particelle inedificate al suo interno, direttamente confinanti con la zona edificabile, in genere già edificate e di superficie relativamente ridotta (RDAT I-2001 n. 49 consid. 3b; Flückiger , op. cit., ad art. 15 n. 60; Zen-Ruffinen/Guy-Ecabert , op. cit., n. 319). In concreto, dai piani acquisiti all'incarto emerge con chiarezza come la porzione del mapp. 240, di cui i ricorrenti chiedono l'attribuzione alla zona fabbricabile, è posta in una situazione del tutto marginale rispetto alla zona estensiva (RE), che si espande a monte di via ai Ca dar Bósch e, in minima parte a valle della stessa (mapp. 239 e, parzialmente 240). Tant'è che ad est essa confina direttamente con il bosco. I ricorrenti non contestano tale assunto, ma si limitano ad affermare che, in considerazione del diritto di passo che la grava e delle distanze legali da mantenere dal bosco, essa risulterebbe di fatto inedificabile. Senonché, argomentando in questo modo, essi stessi riconoscono implicitamente come l'unica giustificazione pianificatoria dell'azzonamento da loro richiesto vada ricercata non tanto nella corretta definizione del limite della zona edificabile, in concreto data, bensì nel fatto di far beneficiare la loro proprietà di indici maggiori, incrementandone il potenziale edificatorio, e quindi in motivi estranei all'art. 15 lett. a vLPT. Di conseguenza, al di là degli aspetti di carattere paesaggistico addotti dal comune in sede di revisione, la decisione del Governo di avallare, sotto questo profilo, l'azzonamento proposto dal comune merita conferma. 6.2. Nemmeno si giustifica l'assegnazione di questa porzione di territorio alla zona edificabile, rispettivamente il lieve incremento del potenziale edificatorio, in applicazione dell'art. 15 lett. b vLPT. 6.2.1. Nella fattispecie occorre premettere che, attraverso la revisione, il comune ha proposto l'esclusione dalle aree fabbricabili di alcuni terreni o territori. Esso ha tuttavia nel contempo proposto anche degli importanti ampliamenti delle zone edificabili. In sede di approvazione il Consiglio di Stato ha condiviso la riduzione delle aree costruibili ma ha disatteso, salvo alcune eccezioni minori, gli ampliamenti. A fronte di 7'059 unità insediative (UI) effettive (di cui 4'683 abitanti nel 2007), indicate dal comune, il Governo ha anzitutto aggiornato i dati contenuti al capitolo 4, pag. 11, del Rapporto di pianificazione giugno 2010, quantificando le UI effettive nel 2010 in 8'721 (di cui 6'285 abitanti). Per rapporto a una previsione di 7'787 UI (di cui 5'190 abitanti nel 2025 secondo i tassi di crescita applicati dal comune, ossia quelli determinati nel 2004 dal Service cantonal de recherche et information statistique su incarico dell'Ufficio di statistica del Cantone Ticino [USTAT]), l'Esecutivo cantonale ha poi appurato che i valori indicati dal comune variavano per difetto da quelli più recenti pubblicati dall'USTAT e di conseguenza da quelli pronosticati per il 2020 e 2025 sulla base del "trend" degli anni precedenti. Il Consiglio di Stato ha quindi rivisto al rialzo il calcolo effettuato dal comune, correggendo la previsione e indicando in particolare per l'anno 2025 un numero di abitanti pari a 7'315 unità invece di 5'190. Esso ha poi rilevato che le zone edificabili proposte con la revisione avrebbero permesso di accogliere circa 10'198 UI (di cui 8'069 abitanti), concludendo, al p.to 5.2.4, pag. 22, della risoluzione impugnata, che la zona edificabile stabilita dal nuovo piano regolatore (e non come erroneamente indicato "dai PR in vigore") permetteva di coprire circa il 10% in più delle necessità di prevedibile sviluppo per i prossimi 10 anni. In proposito s'impone una prima osservazioni, ossia che i calcoli e le correzioni effettuate dal Governo si riferiscono principalmente alle UI rappresentate dagli abitanti. Tale approccio non presta fianco a critiche nella misura in cui è il comune stesso a sottolineare a più riprese nel Rapporto di pianificazione giugno 2010 la sua preminente vocazione residenziale (cfr. pag. 7, 10, 16), motivo per cui proprio gli abitanti rappresentano il suo vero fattore di crescita. 6.2.2. Stabilito che la revisione permetteva di coprire circa il 10% in più delle necessità di prevedibile sviluppo per i prossimi 10 anni, nella decisione impugnata il Governo, attraverso la non approvazione degli ampliamenti della zona edificabile (salvo, come detto, alcune eccezioni) ha poi ricondotto la contenibilità del piano a 9'883 UI (di cui 7'828 abitanti; cfr. risoluzione impugnata, pag. 101). Da ciò risulta, per quanto attiene agli abitanti, una riserva più che sufficiente per rapporto alle prognosi (7'315 abitanti), rispettivamente che le zone edificabili sono adeguatamente dimensionate per soddisfare i prevedibili fabbisogni del comune. Si noti che, anche qualora si volesse considerare l'insieme delle UI pronosticate dal comune per il 2025 (e non solo gli abitanti), tenendo conto della correzione apportata dal Governo, che da 7'787 UI le farebbe lievitare a 9'912 UI, il lieve ammanco che ne risulta per rapporto alle riduzioni operate, pari a 29 UI (= 9'912 - 9'883 UI), si rivela tutto sommato trascurabile, trattandosi di un calcolo teorico, e non è quindi atto ad inficiare la valutazione complessiva operata dal Governo. 6.3. Poiché la superficie in questione non soddisfa già i requisiti di cui all'art. 15 vLPT, non solo merita di essere tutelata la decisione di non assegnarla alla zona edificabile in sua corrispondenza, ma anche quella di mantenerla in zona agricola, intesa nella sua accezione più ampia, espressamente sancita all'art. 16 LPT, nella versione in vigore dal 1° settembre 2000 ( supra , consid. 4.). Ciò anche alla luce della tutela paesaggistica delle adiacenze. 6.4. In definitiva la decisione di mantenere l'area in esame in zona agricola anziché attribuirla a quella edificabile appare sorretta da una valida base legale e risponde a un interesse pubblico e preminente. Essa rispetta pure il principio di proporzionalità poiché si tratta, alla fin fine, dell'unica soluzione in concreto possibile. Non è dunque data una lesione della garanzia della proprietà. 7.   Per i motivi che precedono il ricorso dev'essere respinto. La tassa di giustizia segue la soccombenza (art. 47 cpv. 1 LPAmm), mentre l'assenza di parti vittoriose patrocinate permette di prescindere dall'assegnare ripetibili (art 49 cpv. 1 LPAmm). Per questi motivi, dichiara e pronuncia: 1.   Il ricorso è respinto . 2.   La tassa di giustizia di fr. 2'000.-, già anticipata dai ricorrenti, rimane a loro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