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90.2012.4 vom 24. März 2014</w:t>
      </w:r>
    </w:p>
    <w:p>
      <w:r>
        <w:t>TI Tribunale d'appello, 2014-03-24, IT</w:t>
      </w:r>
    </w:p>
    <w:p>
      <w:r>
        <w:rPr>
          <w:b/>
        </w:rPr>
        <w:t xml:space="preserve">Quelle: </w:t>
      </w:r>
      <w:r>
        <w:t>https://mcp.opencaselaw.ch/entscheid/ti_gerichte_90.2012.4</w:t>
      </w:r>
    </w:p>
    <w:p>
      <w:r>
        <w:t>FR: TI_GERICHTE 90.2012.4 du 24 mars 2014</w:t>
      </w:r>
    </w:p>
    <w:p>
      <w:r>
        <w:t>IT: TI_GERICHTE 90.2012.4 del 24 marzo 2014</w:t>
      </w:r>
    </w:p>
    <w:p>
      <w:pPr>
        <w:pStyle w:val="Heading2"/>
      </w:pPr>
      <w:r>
        <w:t>Regeste</w:t>
      </w:r>
    </w:p>
    <w:p>
      <w:r>
        <w:t>Conferma della non approvazione dell'estensione della zona edificabile in occasione della revisione di un piano regolatore</w:t>
      </w:r>
    </w:p>
    <w:p>
      <w:pPr>
        <w:pStyle w:val="Heading2"/>
      </w:pPr>
      <w:r>
        <w:t>Erwägungen</w:t>
      </w:r>
    </w:p>
    <w:p>
      <w:r>
        <w:rPr>
          <w:b/>
        </w:rPr>
        <w:t>E. 23</w:t>
      </w:r>
    </w:p>
    <w:p>
      <w:r>
        <w:t>maggio 1990; LALPT; BU 1990, 365, in vigore sino al 31 dicembre 2011; art. 30 cpv. 1 legge sullo sviluppo territoriale del 21 giugno 2011; Lst; RL 7.1.1.1, in vigore dal 1° gennaio 2012). Certa è inoltre la legittimazione della ricorrente in questa sede (art. 38 cpv. 4 lett. c LALPT, dal 1° gennaio 2012 art. 30 cpv. 2 lett. c Lst). Il ricorso è, pertanto, ricevibile in ordine. 1.2. Poiché la controversa revisione del piano regolatore è stata adottata e approvata in vigenza della LALPT, essa dovrà essere esaminata, nel merito, in applicazione di quest'ultima legge (art. 107 Lst). 2. 2 .1.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 2.2. Il potere cognitivo del Tribunale cantonale amministrativo è invece circoscritto alla violazione del diritto (art. 38 cpv. 2 LALPT; dal 1° gennaio 2012, art. 30 cpv. 3 Lst e relativo rinvio agli art. 61 seg. legge di procedura per le cause amministrative del 19 aprile 1966; LPamm; BU 1966, 181;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3. 3.1. In sede di approvazione di un piano regolatore, quando il Consiglio di Stato ritiene di non poter approvare una determinata soluzione adottata a livello comunale, esso deve di norma retrocedere gli atti all'autorità inferiore per nuova decisione: lo esige, oltre all'art. 37 cpv. 1, 2ª frase, LALPT, il rispetto dell'autonomia comunale. Il Governo può tuttavia apportare delle modifiche d'uf- ficio al piano regolatore - e sostituirsi pertanto all'esercizio delle competenze che spettano agli organi comunali - quando la nuova regolamentazione può essere determinata d'acchito (segnatamente nel caso di un'unica soluzione, senza possibili alternative) e la modifica tend e a colmare una lacuna evidente o a emendare carenze o errori pianificatori manifesti (RDAT I-2001 n. 17 con- sid. 4.1. con rinvii ). La via della modifica d'ufficio presuppone che la soluzione s'imponga con tale evidenza da rendere perfettamente superfluo e inutilmente dilatorio un rinvio. 3.2. In concreto, è certo che il Consiglio di Stato, disponendo in luogo e vece dell'autorità comunale competente - ossia il consiglio comunale (art. 34 cpv. 1 LALPT) - la non approvazione della SS 1 in corrispondenza dei mapp. 527 e 836 e l'attribuzione della superficie in parola alla zona agricola, abbia operato una modifica d'ufficio del piano regolatore, ma questa è rispettosa dei criteri enunciati sopra, come si spiegherà nei successivi considerandi di diritto. Esso, pertanto e contrariamente all'opinione della ricorrente , non ha disatteso l'autonomia comunale in ambito pianificatorio, istituto che, notoriamente, non permette di tutelare soluzioni contrarie al diritto (DTF 116 I a 221 consid. 2c, 113 Ia 192 consid. 2d; RDAT II-1997 n. 23 consid. 2, 1989 n. 26 consid. 2c con rinvii). 4.4.1. I piani di utilizzazione - nel nostro Cantone chiamati, a livello comunale, piani regolatori (art. 24 segg. LALPT; dal 1° gennaio 2012 art. 18 segg. Lst ) - disciplinano l'uso ammissibile del suolo (art. 14 cpv. 1 LPT). Essi devono delimitare, in primo luogo, le zone edificabili, agricole e protette (art. 14 cpv. 2 LPT). 4 .2.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 3 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territoire, construction, expropriation, Berna 2001, n. 314) . 4.3. Giusta l'art. 16 cpv. 1 LPT (testo modificato il 20 marzo 1998, in vigore dal 1° settembre 2000), le zone agricole servono a garantire a lungo termine la base dell'approvvigionamento alimentare , a salvaguardare il paesaggio e lo spazio per lo svago o ad assicurare la compensazione ecologica; esse devono essere tenute ,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pag. 457 segg., 471, con rinvii). 5. Ferme queste premesse, il Tribunale condivide la decisione del Consiglio di Stato di non approvare la zona edificabile SS 1 e la conseguente assegnazione della relativa superficie alla zona agricola. 5.1. Innanzitutto, questa superficie non può rientrare in un caso di applicazione dell'art. 15 lett. a LPT. Essa, infatti, non appartiene ai terreni già edificati in larga misura ai sensi di quest'ultimo disposto, per i quali s'intende essenzialmente il territorio costruito in maniera compatta, oltre eventualmente singole particelle inedificate al suo interno, direttamente confinanti con la zona edificabile, in genere già edificate e di superficie relativamente ridotta (RDAT I-2001 n. 49 consid. 3b; Waldmann/Hänni , op. cit., ad art 15 n. 23; Flückiger/Grodecki , op. cit., ad art 15 n. 85-93; Zen-Ruffinen/Guy-Ecabert , op. cit., n. 319). Durante il sopralluogo ha trovato conferma quanto già emergeva con chiarezza dalla cartografia, ossia che la superficie in parola si presenta essenzialmente come priva di costruzioni - non basta certo la presenza del campo da tennis, del campetto da basketball e del minuscolo accessorio per adempiere ai severi criteri giurisprudenziali enucleati in precedenza - appartenente senz'ombra di dubbio all'ampio comparto di chiara valenza paesaggistica di Sarée, nel quale è immersa. Chiaramente sottratta alla zona edificabile dal limite percettibile costituito da via Possessione, l'istituzione della SS 1 si configura come un'incoerente propaggine edificabile, avulsa dal contesto in cui è inserita. Gli atti del piano regolatore sono alquanto scarni circa le finalità del suo tracciamento, limitandosi a indicare quale motivazione la " densificazione di un'area edilizia già ora a destinazione residenziale " (pag. 27, concetto ribadito a pag. 28). Ora, come appena spiegato, la superficie in parola non risponde affatto a questa descrizione, per il che tale vaga giustificazione appare del tutto destituita di pregio. 5.2. Nemmeno si giustifica l'assegnazione del superficie in parola alla zona edificabile in applicazione dell'art. 15 lett. b LPT. La zona edificabile di Cureglia, infatti, è già abbondantemente sovradimensionata per le presumibili necessità di sviluppo dell'abitato. Questo aspetto, accertato nella decisione impugnata e veri- ficato dal Tribunale nell'ambito dell'evasione di un ricorso che lo contestava, non è stato messo in discussione dalla ricorrente. Non può essere nemmeno seguito il ragionamento sviluppato da quest'ultima circa l'esiguità dell'impatto dell'istituzione della SS 1 sulla contenibilità del piano. Innanzitutto, come visto, è in discussione un ampliamento di 2500 mq, dunque non di ridotte dimensioni. Il fatto che esso poi permetterebbe l'insediamento di sole 5 ulteriori unità non è determinante: secondo la giurisprudenza, anche le particelle di modeste proporzioni contribuiscono a definire la zona edificabile giusta l'art. 15 LPT e non possono pertanto essere trascurate a questo scopo (cfr. DTF 116 Ia 236 seg.; STF 1A.160/2006 del 31 maggio 2007 consid. 4.4). 5.3. Poiché la superficie in questione non soddisfa già i requisiti di cui all'art. 15 LPT, non solo merita di essere tutelata la decisione di non approvare la SS 1, ma anche quella di attribuirla alla zona agricola, intesa nella sua accezione più ampia, espressamente sancita all'art. 16 LPT, nella versione in vigore dal 1° settembre 2000 ( supra , 4.2.). Vero è che la superficie in parola non si presta alla lavorazione agricola, come conferma lo specifico catasto elaborato dalla Sezione dell'agricoltura. Tuttavia, contrariamente a quanto sostenuto dal ricorrente e per i motivi che già si son visti, questo non è un requisito necessario per l'assegnazione della superficie in esame alla zona agricola. 5.4. La questione dell'urbanizzazione della superficie in questione risulta, a questo punto, ininfluente. Difatti, anche se venisse accertata, essa non sarebbe comunque sia decisiva e non conferirebbe un diritto all'attribuzione del fondo alla zona edificabile (DTF 122 II 326 consid. 6a, 117 Ia 434 consid. 3g; Waldmann/Hänni , op. cit., n. 23 ad art. 15; Flückiger/Grodecki , op. cit., n. 87 ad art. 15; Zen-Ruffinen/Guy-Ecabert , op. cit., n. 321). 5 .5. La ponderazione degli interessi (cfr. consid. 2.2.) permette di confortare la necessità di assegnare la superficie in esame alla zona agricola, soluzione che permette di tutelare anche l'integrità del pregevole parco in cui è inserita. Continuando nell'esercizio di ponderazione, oltre all'obiettivo di interesse generale a impedi- re la formazione di zone edificabili troppo vaste (RDAT I-2001 n. 49 consid. 3c), dev'essere da ultimo evidenziata l'imprescindibile esigenza, troppo spesso negletta, di salvaguardare sufficienti spazi liberi per le future generazioni. 6. Per i pregressi motivi, il ricorso, infondato, dev'essere respinto. 7. La tassa di giustizia è posta a carico della ricorrente, soccombente (art. 28 LPamm). La soccombenza dell'unica parte patrocinata esclude l'assegnazione di ripetibili (art. 31 LPamm). Per questi motivi, dichiara e pronuncia: 1.  Il ricorso è respinto. 2.  La tassa di giustizia di fr. 1'500.- è posta a carico della RI 1.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