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90.2011.28 vom 23. Mai 2012</w:t>
      </w:r>
    </w:p>
    <w:p>
      <w:r>
        <w:t>TI Tribunale d'appello, 2012-05-23, IT</w:t>
      </w:r>
    </w:p>
    <w:p>
      <w:r>
        <w:rPr>
          <w:b/>
        </w:rPr>
        <w:t xml:space="preserve">Quelle: </w:t>
      </w:r>
      <w:r>
        <w:t>https://mcp.opencaselaw.ch/entscheid/ti_gerichte_90.2011.28</w:t>
      </w:r>
    </w:p>
    <w:p>
      <w:r>
        <w:t>FR: TI_GERICHTE 90.2011.28 du 23 mai 2012</w:t>
      </w:r>
    </w:p>
    <w:p>
      <w:r>
        <w:t>IT: TI_GERICHTE 90.2011.28 del 23 maggio 2012</w:t>
      </w:r>
    </w:p>
    <w:p>
      <w:pPr>
        <w:pStyle w:val="Heading2"/>
      </w:pPr>
      <w:r>
        <w:t>Regeste</w:t>
      </w:r>
    </w:p>
    <w:p>
      <w:r>
        <w:t>Violazione della procedura di informazione e partecipazione della popolazione in campo pianificatorio</w:t>
      </w:r>
    </w:p>
    <w:p>
      <w:pPr>
        <w:pStyle w:val="Heading2"/>
      </w:pPr>
      <w:r>
        <w:t>Erwägungen</w:t>
      </w:r>
    </w:p>
    <w:p>
      <w:r>
        <w:rPr>
          <w:b/>
        </w:rPr>
        <w:t>E. 1.1</w:t>
      </w:r>
    </w:p>
    <w:p>
      <w:r>
        <w:t>La competenza del Tribunale cantonale amministrativo è data e il ricorso è tempestivo (art. 38 cpv. 1 legge cantonale di applicazione delle legge federale sulla pianificazione del territorio del 23 maggio 1990; LALPT; RL 7.1.1.1, in vigore sino al 31 dicembre 2011; dal 1° gennaio 2012, art. 30 cpv. 1 legge sullo sviluppo territoriale del 21 giugno 2011; LST; BU 2011, 525). Certa è la legittimazione attiva di RI 1 e di RI 2 (art. 38 cpv. 4 lett. b LALPT; art. 30 cpv. 2 lett. b Lst).</w:t>
      </w:r>
    </w:p>
    <w:p>
      <w:r>
        <w:rPr>
          <w:b/>
        </w:rPr>
        <w:t>E. 1.2</w:t>
      </w:r>
    </w:p>
    <w:p>
      <w:r>
        <w:t>Il gravame è dunque ricevibile in ordine e può essere evaso sulla base degli atti, senza istruttoria (art. 18 cpv. 1 legge di procedura per le cause amministrative del 19 aprile 1966; LPamm; RL 3.3.1.1). A prescindere dal fatto che il Tribunale ha già avuto modo di visitare i luoghi nella precedente procedura, ricordata in precedenza ( supra , B.a.), data la natura delle contestazioni da dirimere, un'udienza e un sopralluogo non sono nemmeno necessari ai fini del giudizio.</w:t>
      </w:r>
    </w:p>
    <w:p>
      <w:r>
        <w:rPr>
          <w:b/>
        </w:rPr>
        <w:t>E. 1.3</w:t>
      </w:r>
    </w:p>
    <w:p>
      <w:r>
        <w:t>La Lst prevede che le procedure in corso prima della sua entrata in vigore siano concluse secondo il diritto anteriore (cfr. art. 107): l'esame delle contestazioni avviene dunque in base alla LALPT.</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della legge di procedura per le cause amministrative del 19 aprile 1966; LPamm; RL 3.3.1.1.;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w:t>
      </w:r>
    </w:p>
    <w:p>
      <w:r>
        <w:rPr>
          <w:b/>
        </w:rPr>
        <w:t>E. 3.1</w:t>
      </w:r>
    </w:p>
    <w:p>
      <w:r>
        <w:t>Secondo l'art. 4 LPT, le autorità incaricate di compiti pianificatori informano la popolazione sugli scopi e sullo sviluppo delle pianificazioni previste dalla legge stessa (cpv. 1). Esse devono inoltre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(RDAF I-1999 pag. 56 segg., 60, con numerosi rinvii). In adempimento di questo mandato legislativo ai Cantoni (cfr. DFGP/UPT, Commento alla legge federale sulla pianificazione del territorio, Berna 1981, n. 5 ad art.</w:t>
      </w:r>
    </w:p>
    <w:p>
      <w:r>
        <w:rPr>
          <w:b/>
        </w:rPr>
        <w:t>E. 3.2</w:t>
      </w:r>
    </w:p>
    <w:p>
      <w:r>
        <w:t>Queste formalità sono esatte per qualsiasi procedura concernente il piano regolatore, tranne che per le varianti di poco conto (cfr. anche RtiD II-2006 n. 33 consid. 3; RDAT II-2002 n. 34, II-1995 n. 4 consid 3.1). Esse servono ad assicurare un'effettiva partecipazione della popolazione al processo pianificatorio, permettendole di formulare tempestivamente proposte che possono essere adeguatamente vagliate e ponderate prima di eventualmente tradursi in soluzioni concrete. La tempestiva informazione della popolazione, oltre a favorire la condivisione e il consenso attorno alle soluzioni elaborate dal municipio, serve inoltre a prevenire la presentazione di proposte alternative dell'ultima ora, magari improvvisate e incongruenti, in sede di adozione del piano da parte del legislativo.</w:t>
      </w:r>
    </w:p>
    <w:p>
      <w:r>
        <w:rPr>
          <w:b/>
        </w:rPr>
        <w:t>E. 3.3</w:t>
      </w:r>
    </w:p>
    <w:p>
      <w:r>
        <w:t>Comunque sia, a prescindere dalle modalità seguite nel singolo caso, l'art. 4 LPT richiede, come esigenza minima, che l'autorità sottoponga i piani ad una consultazione generale e prenda successivamente posizione, ancorché in modo succinto, su obiezioni e suggerimenti formulati nella stessa (DTF 133 II 120 consid. 3.2; STF 1C_101/2007 del 26 febbraio 2008 consid. 3.1). 3 .4. In concreto, è innegabile che la proposta pianificatoria qui in esame non ha rispettato le (minime) esigenze poste dall'art. 4 LPT. A torto Governo e comune sostengono che sia stata sufficiente la pubblicazione degli atti, avvenuta solo dopo l'adozione del piano da parte del legislativo, che non ha menomato le possibilità ricorsuali dei qui insorgenti. Essi, così facendo, confondono la procedura di informazione e partecipazione, prevista dall'art.</w:t>
      </w:r>
    </w:p>
    <w:p>
      <w:r>
        <w:rPr>
          <w:b/>
        </w:rPr>
        <w:t>E. 3.5</w:t>
      </w:r>
    </w:p>
    <w:p>
      <w:r>
        <w:t>Ne discende che i requisiti posti dagli art. 4 LPT e 32 e segg. LALPT non sono stati rispettati. La risoluzione governativa impugnata deve, pertanto, essere annullata.</w:t>
      </w:r>
    </w:p>
    <w:p>
      <w:r>
        <w:rPr>
          <w:b/>
        </w:rPr>
        <w:t>E. 4</w:t>
      </w:r>
    </w:p>
    <w:p>
      <w:r>
        <w:t>Siccome già per i motivi che precedono il ricorso dev'essere accolto, non è qui necessario verificare se, inoltre, la lesione del diritto di essere sentito messa in atto dal Governo attraverso la mancata intimazione della risposta del comune nella procedura di prima istanza possa essere sanata in questa sede.</w:t>
      </w:r>
    </w:p>
    <w:p>
      <w:r>
        <w:rPr>
          <w:b/>
        </w:rPr>
        <w:t>E. 5</w:t>
      </w:r>
    </w:p>
    <w:p>
      <w:r>
        <w:t>Dato l'esito, il Tribunale rinuncia, conformemente alla prassi, a prelevare una tassa di giustizia, ritenuto anche che CO 3 non hanno resistito al ricorso (art. 28 LPamm). Agli insorgenti, dei quali uno è avvocato iscritto nel registro cantonale, non sono assegnate ripetibili (art. 31 LPamm). Per principio, all'avvocato che agisce in causa propria non vengono infatti riconosciute indennità per spese di patrocinio (cfr. STA 52.2010.36 del 25 agosto 2010 consid. 6; Hansjörg Seiler , in: Hansjörg Seiler/Nicolas von Werdt/Andreas Güngerich, Handkommentar zum Bundesgerichtsgesetz, Berna 2007, ad art. 68 n. 16 e giurisprudenza ivi citata). Per questi motivi, dichiara e pronuncia: 1.   Il ricorso è accolto. §.   Di conseguenza sono annullate: 1.1.  la risoluzione 5 aprile 2011 (n. 2198), con cui il Consiglio di Stato ha approvato le varianti del piano regolatore di Lavizzara; 1.2.  la risoluzione 5 febbraio 2010 con cui consiglio comuna-le di Lavizzara ha adottato le varianti relative al posteggio in località Cortignelli. 2.   Non si preleva la tassa di giustizia.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