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90.2007.81 vom 30. Oktober 2007</w:t>
      </w:r>
    </w:p>
    <w:p>
      <w:r>
        <w:t>TI Tribunale d'appello, 2007-10-30, IT</w:t>
      </w:r>
    </w:p>
    <w:p>
      <w:r>
        <w:rPr>
          <w:b/>
        </w:rPr>
        <w:t xml:space="preserve">Quelle: </w:t>
      </w:r>
      <w:r>
        <w:t>https://mcp.opencaselaw.ch/entscheid/ti_gerichte_90.2007.81</w:t>
      </w:r>
    </w:p>
    <w:p>
      <w:r>
        <w:t>FR: TI_GERICHTE 90.2007.81 du 30 octobre 2007</w:t>
      </w:r>
    </w:p>
    <w:p>
      <w:r>
        <w:t>IT: TI_GERICHTE 90.2007.81 del 30 ottobre 2007</w:t>
      </w:r>
    </w:p>
    <w:p>
      <w:pPr>
        <w:pStyle w:val="Heading2"/>
      </w:pPr>
      <w:r>
        <w:t>Regeste</w:t>
      </w:r>
    </w:p>
    <w:p>
      <w:r>
        <w:t>Ricorso irricevibile contro una variante di piano regolatore</w:t>
      </w:r>
    </w:p>
    <w:p>
      <w:pPr>
        <w:pStyle w:val="Heading2"/>
      </w:pPr>
      <w:r>
        <w:t>Erwägungen</w:t>
      </w:r>
    </w:p>
    <w:p>
      <w:r>
        <w:rPr>
          <w:b/>
        </w:rPr>
        <w:t>E. 1</w:t>
      </w:r>
    </w:p>
    <w:p>
      <w:r>
        <w:t>La competenza del tribunale è data ed il ricorso è tempestivo (art. 38 cpv. 1 LALPT). Quanto alla legittimazione del ricorrente il tribunale considera quanto segue.</w:t>
      </w:r>
    </w:p>
    <w:p>
      <w:r>
        <w:rPr>
          <w:b/>
        </w:rPr>
        <w:t>E. 2</w:t>
      </w:r>
    </w:p>
    <w:p>
      <w:r>
        <w:t>A norma dell’art. 37 cpv. 1 LALPT il Consiglio di Stato esamina gli atti e decide i ricorsi, approva in tutto od in parte il piano regolatore, oppure nega l’approvazione. Contro le decisioni del Consiglio di Stato è dato ricorso al Tribunale cantonale amministrativo (art. 38 cpv. 1 LALPT). L’art. 38 cpv. 4 LALPT legittima a ricorrere il comune (lett. a), i già ricorrenti, per gli stessi motivi (lett. b), ed ogni altra persona o ente che dimostri un interesse degno di protezione a dipendenza delle modifiche decise dal Consiglio di Stato (lett. c). Il privato cittadino è pertanto legittimato a ricorrere dinanzi a questo tribunale solo se ha precedentemente inoltrato ricorso davanti al Consiglio di Stato; fa eccezione l'ipotesi in cui quest’ultima autorità abbia disposto una modifica rispetto alle decisioni del legislativo comunale.</w:t>
      </w:r>
    </w:p>
    <w:p>
      <w:r>
        <w:rPr>
          <w:b/>
        </w:rPr>
        <w:t>E. 3</w:t>
      </w:r>
    </w:p>
    <w:p>
      <w:r>
        <w:t>In concreto, con la decisione qui impugnata il Consiglio di Stato si è limitato ad approvare - in linea di principio - le varianti del piano regolatore così come adottate dal legislativo comunale. Poiché il ricorrente non ha inoltrato ricorso al Consiglio di Stato contro la decisione del 25 ottobre 2004, con cui il consiglio comunale ha adottato le varianti del piano regolatore, egli non è legittimato a contestarle in questa sede. Il gravame dell’insorgente va, di conseguenza, dichiarato irricevibile. Egli potrebbe unicamente contestare in questa sede le modifiche disposte dall'Esecutivo cantonale attraverso la risoluzione di approvazione delle varianti 26 giugno 2007, che sono successivamente state pubblicate a cura del municipio di __________ nel periodo 30 luglio-28 agosto 2007. Le censure proposte nell'impugnativa si riferiscono tuttavia all'azzonamento del mapp. 5, che non è stato interessato dalle modifiche disposte dal Governo nella testé menzionata risoluzione. 4.   Nella risposta al ricorso il municipio di __________ ammette che, in effetti, i piani allestiti dal comune nell'ambito della variante non tenevano conto della modifica dell'azzonamento del mapp. 5 disposto attraverso la variante di poco conto approvata dal dipartimento del territorio l'11 febbraio 1998. Questo problema non può tuttavia essere risolto in questa sede. Spetterà pertanto all'autorità comunale, d'intesa con quella governativa, di porre rimedio alla situazione denunciata dal ricorrente, promuovendo le procedure necessarie all'uopo. 5.   La tassa di giustizia è posta a carico del ricorrente (art. 28 PAmm). Per questi motivi, visti gli articoli di legge applicabili alla fattispecie, dichiara e pronuncia: 1.   Il ricorso è irricevibile. 2.   La tassa di giustizia, di fr. 300.-, è posta a carico del ricorrente. 3.   Intimazione a: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