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90.2007.36 vom 14. Januar 2008</w:t>
      </w:r>
    </w:p>
    <w:p>
      <w:r>
        <w:t>TI Tribunale d'appello, 2008-01-14, IT</w:t>
      </w:r>
    </w:p>
    <w:p>
      <w:r>
        <w:rPr>
          <w:b/>
        </w:rPr>
        <w:t xml:space="preserve">Quelle: </w:t>
      </w:r>
      <w:r>
        <w:t>https://mcp.opencaselaw.ch/entscheid/ti_gerichte_90.2007.36</w:t>
      </w:r>
    </w:p>
    <w:p>
      <w:r>
        <w:t>FR: TI_GERICHTE 90.2007.36 du 14 janvier 2008</w:t>
      </w:r>
    </w:p>
    <w:p>
      <w:r>
        <w:t>IT: TI_GERICHTE 90.2007.36 del 14 gennaio 2008</w:t>
      </w:r>
    </w:p>
    <w:p>
      <w:pPr>
        <w:pStyle w:val="Heading2"/>
      </w:pPr>
      <w:r>
        <w:t>Regeste</w:t>
      </w:r>
    </w:p>
    <w:p>
      <w:r>
        <w:t>Conferma dell'istituzione di una zona di pianificazione</w:t>
      </w:r>
    </w:p>
    <w:p>
      <w:pPr>
        <w:pStyle w:val="Heading2"/>
      </w:pPr>
      <w:r>
        <w:t>Erwägungen</w:t>
      </w:r>
    </w:p>
    <w:p>
      <w:r>
        <w:rPr>
          <w:b/>
        </w:rPr>
        <w:t>E. 1</w:t>
      </w:r>
    </w:p>
    <w:p>
      <w:r>
        <w:t>La competenza del Tribunale cantonale amministrativo e la legittimazione dei ricorrenti è pacifica (art. 64 cpv. 2 LALPT). Visto il medesimo fondamento di fatto delle due impugnative, la congiunzione delle cause in un unico giudizio s'impone ai sensi dell'art. 51 LPAmm. 2.   2.1.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58 LALPT, che consente di istituire zone di pianificazione se conflitti con i principi pianificatori o problemi particolari relativi all'uso del territorio lo giustificano (cpv. 1), ed in particolare, se i piani mancano o devono essere modificati (cpv. 2). La zona di pianificazione è istituita, nell'ambito delle relative competenze, dal municipio, rispettivamente dal Consiglio di Stato (art. 60 cpv. 1 LALPT); quest'ultimo può inoltre stabilire zone di pianificazione a salvaguardia degli obiettivi della pianificazione del territorio e della protezione dell'ambiente, così come per garantire l'adeguamento delle pianificazioni locali (art. 60 cpv.</w:t>
      </w:r>
    </w:p>
    <w:p>
      <w:r>
        <w:rPr>
          <w:b/>
        </w:rPr>
        <w:t>E. 2</w:t>
      </w:r>
    </w:p>
    <w:p>
      <w:r>
        <w:t>LALPT). Il diritto cantonale riprende all'art. 63 cpv. 2 LALPT gli effetti del provvedimento prescritti all'art. 27 cpv. 1 LPT, secondo cui all'interno della zona è vietato ogni intervento che possa rendere più ardua la pianificazione dell'utilizzazione, precisando inoltre che le domande di costruzione in contrasto con gli obiettivi del piano in formazione sono decise negativamente oppure sono sospese, al massimo fino alla scadenza della zona di pianificazione (art. 63 cpv. 3 LALPT). La zona di pianificazione entra in vigore con la sua pubblicazione e lo resta fino a che sia pubblicato il piano sostitutivo, ma comunque non oltre cinque anni, con facoltà del Consiglio di Stato di prorogare di altri due anni il termine di scadenza (art. 27 cpv. 2 LPT; 62 seg. LALPT).</w:t>
      </w:r>
    </w:p>
    <w:p>
      <w:r>
        <w:rPr>
          <w:b/>
        </w:rPr>
        <w:t>E. 2.2</w:t>
      </w:r>
    </w:p>
    <w:p>
      <w:r>
        <w:t>La zona di pianificazione è un provvedimento conservativo (RDAT 1990 n. 79, consid. 2b), volto ad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Ruch ,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 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 op. cit., n. 103-106; Scolari , op. cit., n. 595-610). 4.   I ricorrenti insorgono contro il provvedimento pianificatorio ma non si esprimono affatto né sul rispetto da parte dell'autorità comunale dei principi testé ricordati per l'adozione del provvedimento in questione, né sulla sua fondatezza e idoneità del vincolo pianificatorio, né sulla sua legittimità. Essi si limitano infatti a dichiarare "nebulosi" gli scopi della zona di pianificazione per poi divagare immediatamente in considerazioni generiche relative alla futura pianificazione sostanziale del comparto in questione (ricomposizione di tutto il comparto Piana-Caminada-Cairelletto , trasferimento di indici edificatori dalla collina ai fondi sul piano, limitazione o perdita totale delle possibilità edificatorie dei loro fondi, ecc.). Già per questo motivo le loro censure devono essere dichiarate inammissibili in quanto rivolte alla pianificazione materiale in fieri , che sarà oggetto di una futura modifica del piano regolatore, ma che non può ancora esser esaminata in questa sede e meglio come ricordato sopra al considerando 2.2. I n ogni caso, anche a prescindere dall'inammissibilità delle censure ricorsuali, la zona di pianificazione risulta essere conforme ai dettami della legislazione in materia pianificatoria. 4.1. L'adozione di una misura di salvaguardia della pianificazione presuppone, come requisito centrale, una seria intenzione di mutare l'ordinamento pianificatorio vigente (RDAT I-1995 n. 31 consid. 2b di fine; Ruch , op. cit., art. 27 n. 27); questo significa che deve sussistere un interesse pubblico sia alla modifica del piano di utilizzazione (piano regolatore a livello comunale) sia all'impiego transitorio dello strumento della zona di pianificazione (Ruch, op. cit., ad art. 27 n. 25 seg.). Il grado di concretizzazione di questa intenzione non deve essere tuttavia necessariamente elevato, in particolare quando il provvedimento è adottato, come si avvera nel nostro Cantone, dall'esecutivo comunale, che non è l'autorità competente ad adottare il piano di utilizzazione che la zona di pianificazione vuole tutelare (cfr. Ruch , op. cit., ad art. 27 n. 27 seg.; Zen-Ruffinen/Guy-Ecabert , op. cit., n. 457). 4.2. In concreto, in occasione dello studio della variante del piano regolatore concernente il comparto Piana-Caminada-Cairelletto , oggetto della zona di pianificazione adottata dal municipio nel 2005, l'autorità comunale ha evidenziato la necessità di adottare misure pianificatorie atte ad armonizzare la pianificazione di quel comparto con la pianificazione di tutta la zona collinare che lo sovrasta. Al fine di evitare situazioni di pregiudizio in relazione alla futura pianificazione e alla sua attuazione, l'esecutivo ha manifestato l'intenzione di: -    precisare gli indirizzi di sviluppo urbanistico per la fascia collinare, con particolare riferimento alla piana sottostante e al comparto residenziale e al nucleo sovrastanti; -    formare un asse verde di fruizione pubblica e d'arredo paesaggistico che qualifichi questa fascia collinare; -    ridiscutere il tracciato e il carattere della strada di servizio ai piedi della collina, che è già prevista nell'attuale piano regolatore ma che non ha ancora trovato alcuna attuazione. Nella risposta al ricorso e in occasione dell'udienza e del sopralluogo del 20 settembre 2007 dinanzi a questo tribunale, il municipio ha inoltre nuovamente ribadito le motivazioni di ordine regionale e comprensoriale nonché le ragioni di tipo viario conseguenti al cambiamento dell'assetto viario del Piano del Vedeggio e la conseguente necessità di ben ponderare la pianificazione dell'intero settore. A seguito degli studi nel frattempo avviati per la zona della piana, il municipio ha così ritenuto di ampliare il territorio sottoposto al primo provvedimento pianificatorio praticamente su tutta la fascia collinare non ancora edificata, onde permettere uno studio organico e funzionale di tutto il territorio direttamente e indirettamente interessato dai cambiamenti in atto, di natura pianificatoria e viaria, anche di ordine superiore. Non da ultimo, il municipio ha rilevato la vetustà del piano regolatore attualmente in vigore, risalente all'anno 1982, che non risponde più ai modificati e accresciuti bisogni di quella zona strategica, che vedrà realizzate opere viarie che modificheranno radicalmente tutta la piana del __________ e l'agglomerato di __________. D'altra parte, queste considerazioni non sono messe in discussione dai ricorrenti come pure incontestata è la seria intenzione dell'autorità comunale di voler pianificare questo comparto. Tant'è che lo scorso 19 ottobre 2007 il municipio ha già illustrato alle parti interessate la proposta di variante del piano regolatore scaturita dagli studi commissionati negli scorsi tempi. Nella fattispecie il provvedimento della zona di pianificazione si rivela pertanto legittimo e fondato sotto il criterio dell'interesse pubblico. 4.3. Va ancora esaminato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In concreto, La misura adottata risulta senz'altro idonea. Resta dunque da valutare se la stessa è pure necessaria. A questo scopo vanno soppesati, in primis , gli effetti della controversa zona di pianificazione, per determinare se e fino a che punto si giustifichi di mantenere la pianificazione comunale allo studio al riparo da iniziative edilizie che potrebbero seriamente comprometterla o comunque renderne più arduo lo svolgimento. In quest'ordine di idee la scheda descrittiva predisposta dall'autorità comunale precisa che nell'area interessata è in linea di principio permessa solo la riattazione di edifici esistenti con eventuali ampliamenti di piccola entità e modifiche di destinazione pure di piccola entità, concernenti al massimo il 10% dei volumi esistenti sui rispettivi fondi. Non sono per contro ammessi gli ampliamenti di edifici con destinazione manifestamente incompatibile con la futura pianificazione. Va evidenziato che la regolamentazione degli effetti della zona prevede, in buona sostanza, un divieto di nuove iniziative edificatorie, se non di minima entità. D'altra parte, va riconosciuto che il territorio oggetto della zona di pianificazione, oggi inserito nella zona residenziale estensiva (R2), comprende, salvo un mappale (n. 299) sul quale sono presenti alcuni vetusti caseggiati rurali, unicamente terreni tuttora inedificati sui quali non è mai stata intrapresa alcuna concreta attività edilizia. Per uno di essi, il fondo n. 903, nel 2005 il comune aveva rilasciato una licenza edilizia, che però non ha trovato alcuna attuazione. Il municipio non ha dato seguito alla richiesta di rinnovo della licenza, istituendo nel contempo la zona di pianificazione qui oggetto di disamina. Questi terreni risultano quindi di grande interesse per la pianificazione, poiché garantiscono la più ampia libertà decisionale nella ridefinizione dell'utilizzazione della zona. In quest'ottica, considerati gli importanti obiettivi che l'autorità si è prefissata, appare ragionevole la limitazione imposta temporaneamente ai singoli proprietari. Di conseguenza, la zona di pianificazione appare anche conforme al principio di proporzionalità.</w:t>
      </w:r>
    </w:p>
    <w:p>
      <w:r>
        <w:rPr>
          <w:b/>
        </w:rPr>
        <w:t>E. 5</w:t>
      </w:r>
    </w:p>
    <w:p>
      <w:r>
        <w:t>In conclusione, la zona di pianificazione all'esame risulta quindi sorretta da una valida base legale, che i ricorrenti giustamente non mettono in discussione, giustificata da un sufficiente interesse pubblico e rispettosa del principio di proporzionalità. I gravami dei ricorrenti, nella misura della loro ammissibilità, devono essere conseguentemente respinti.</w:t>
      </w:r>
    </w:p>
    <w:p>
      <w:r>
        <w:rPr>
          <w:b/>
        </w:rPr>
        <w:t>E. 6</w:t>
      </w:r>
    </w:p>
    <w:p>
      <w:r>
        <w:t>La tassa di giudizio e le spese (art. 28 PAmm) sono poste a carico dei ricorrenti. Al comune, patrocinato da un legale, viene riconosciuta un'indennità a titolo di ripetibili (art. 31 LPAmm). Per questi motivi, visti gli articoli di legge applicabili alla fattispecie, dichiara e pronuncia: 1.   Nella misura in cui sono ammissibili, i ricorsi sono respinti. 2. La tassa di giustizia, di complessivi fr. 2'200.- (duemiladuecento) è posta a carico per fr. 600.- (seicento) di RI 1 e per la rimanenza di RI 2, RI 3, RI 5 e RI 4, per questi ultimi con il vincolo di solidarietà. RI 1 verserà al comune di Manno fr. 400.- (quattrocento) a titolo di ripetibili, mentre gli altri ricorrenti verseranno, sempre a titolo di ripetibili, complessivamente fr. 1'200.- (milleduecento).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