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90.2006.56 vom 28. Februar 2008</w:t>
      </w:r>
    </w:p>
    <w:p>
      <w:r>
        <w:t>TI Tribunale d'appello, 2008-02-28, IT</w:t>
      </w:r>
    </w:p>
    <w:p>
      <w:r>
        <w:rPr>
          <w:b/>
        </w:rPr>
        <w:t xml:space="preserve">Quelle: </w:t>
      </w:r>
      <w:r>
        <w:t>https://mcp.opencaselaw.ch/entscheid/ti_gerichte_90.2006.56</w:t>
      </w:r>
    </w:p>
    <w:p>
      <w:r>
        <w:t>FR: TI_GERICHTE 90.2006.56 du 28 février 2008</w:t>
      </w:r>
    </w:p>
    <w:p>
      <w:r>
        <w:t>IT: TI_GERICHTE 90.2006.56 del 28 febbraio 2008</w:t>
      </w:r>
    </w:p>
    <w:p>
      <w:pPr>
        <w:pStyle w:val="Heading2"/>
      </w:pPr>
      <w:r>
        <w:t>Regeste</w:t>
      </w:r>
    </w:p>
    <w:p>
      <w:r>
        <w:t>Variante di piano regolatore</w:t>
      </w:r>
    </w:p>
    <w:p>
      <w:pPr>
        <w:pStyle w:val="Heading2"/>
      </w:pPr>
      <w:r>
        <w:t>Erwägungen</w:t>
      </w:r>
    </w:p>
    <w:p>
      <w:r>
        <w:rPr>
          <w:b/>
        </w:rPr>
        <w:t>E. 1</w:t>
      </w:r>
    </w:p>
    <w:p>
      <w:r>
        <w:t>La competenza del tribunale è data e la legittimazione dei ricorrenti certa (art. 38 cpv. 4 lett. b LALPT). Il ricorso è tempestivo (art. 38 cpv. 1 LALPT) ed essendo adempiute anche le altre condizioni formali lo stesso può essere esaminato nel merito.</w:t>
      </w:r>
    </w:p>
    <w:p>
      <w:r>
        <w:rPr>
          <w:b/>
        </w:rPr>
        <w:t>E. 2</w:t>
      </w:r>
    </w:p>
    <w:p>
      <w:r>
        <w:t>Sono possibili i seguenti interventi: -    riattazioni: miglioramenti delle strutture edilizie esistenti; -    trasformazioni: modifiche delle utilizzazioni; -    ampliamenti in verticale: aggiunte in sopraelevazione sino all’altezza degli edifici contigui o adiacenti; -    ricostruzioni delle volumetrie esistenti: rifacimento di una struttura edilizia in caso di demolizione  o di evidenti impossibilità funzionali e costruttive; -    combinazioni tra gi interventi sopra descritti in quanto non snaturino le strutture edilizie e ambientali esistenti.</w:t>
      </w:r>
    </w:p>
    <w:p>
      <w:r>
        <w:rPr>
          <w:b/>
        </w:rPr>
        <w:t>E. 3</w:t>
      </w:r>
    </w:p>
    <w:p>
      <w:r>
        <w:t>Gli edifici di interesse storico-architettonico-spaziale possono in particolare  essere riattati in modo conservativo; gli edifici determinanti il tessuto tradizionale possono anche essere demoliti, ma devono essere ricostruiti nel rispetto sostanziale dei volumi preesistenti. Nel caso di importanti ristrutturazioni, gli edifici e/o manufatti minori devono essere integrati nell’edificio principale.</w:t>
      </w:r>
    </w:p>
    <w:p>
      <w:r>
        <w:rPr>
          <w:b/>
        </w:rPr>
        <w:t>E. 4</w:t>
      </w:r>
    </w:p>
    <w:p>
      <w:r>
        <w:t>Non sono preclusi maggiori occupazioni della superficie edificata o nuove edificazioni purché si fondino su un progetto architettonico-urbanistico qualificato per rapporto allo spazio di riferimento, con particolare attenzione a quello pubblico (strade, piazze). Per questi interventi valgono le seguenti disposizioni: -    l’altezza non deve superare i 10.00 metri; -    il 70% della superficie edificabile deve essere mantenuta libera da costruzioni. Per la situazione fondiaria e per la classificazione degli edifici fanno stati i piani di rilievo approvati con il piano regolatore.</w:t>
      </w:r>
    </w:p>
    <w:p>
      <w:r>
        <w:rPr>
          <w:b/>
        </w:rPr>
        <w:t>E. 5</w:t>
      </w:r>
    </w:p>
    <w:p>
      <w:r>
        <w:t>Tutte le istanze d’autorizzazione a costruire devono essere accompagnate da un rilievo degli edifici esistenti nella scala 1: 50 e da una documentazione fotografica comprendente anche gli edifici adiacenti. Per quanto attiene alle distanze nei nuclei, l’art. 40 vNAPR fa riferimento generico agli art. 120, 124 e 125 della LAC. 3.3.   Nell’ambito di una procedura concernente il rilascio di una licenza edilizia per la ristrutturazione e l’ampliamento di alcuni stabili nel nucleo di Cremignone, il Tribunale cantonale amministrativo ha annullato la licenza concessa dal comune di Sorengo poiché gli interventi prospettati non rispettavano, segnatamente, le norme sulle distanze tra edifici, le altezze e l’indice di occupazione. A seguito di questa procedura è emersa chiara l’incongruenza tra gli obiettivi prefissati con la revisione generale del piano regolatore del 2001 – la testé citata volontà di densificare le edificazioni e di non imporre troppi vincoli nei nuclei – e la difficoltà o addirittura l’impossibilità di attuarli sulla base delle normative in vigore. Le norme relative alle altezze degli edifici in caso di ampliamenti in verticale (art. 38 cpv. 2 vNAPR), ad esempio, erano ambigue e di difficile applicazione, era esclusa la possibilità di far capo a trasferimenti di quantità edificatorie tra fondi vicini e, da ultimo, l’obbligo del rispetto delle distanze tra edifici sanciti dalla LAC anche nel solo caso di sopraelevazione di edifici esistenti (art. 40 NAPR) impediva di mantenere un allineamento delle costruzioni. In tali circostanze, una modifica del piano regolatore, seppur a soli 5 anni dalla sua entrata in vigore, trova la sua giustificazione e il suo interesse nell’attuazione degli intendimenti posti a sostegno della revisione del piano stesso ma vanificati da alcune norme che di fatto ne impediscono la sua messa in opera. I cambiamenti, che interessano unicamente due norme specifiche valide per i nuclei di Sorengo (altezze, indice di occupazione e distanze), concernono senza ombra di dubbio criteri importanti e determinanti per la pianificazione di tali zone, che il comune ha inteso salvaguardare, cercando di coniugare interventi nel limite del possibile conservativi del tessuto tradizionale con la necessità di sfruttamento economicamente sostenibile dei fondi interessati. Scopi che potevano essere attuati unicamente con una modifica delle norme in questione, come avvenuto in concreto. Contrariamente a quanto sostenuto dai ricorrenti, il comune ha quindi inteso principalmente porre rimedio ad un errore di ordine pianificatorio venuto all’evidenza a seguito della procedura di rilascio della licenza per la ristrutturazione di edifici nel nucleo di Cremignone, definendo in modo migliore e nello spirito della revisione del piano regolatore, le possibilità edificatorie nella zona dei nuclei. 3.4.   In particolare, per quanto riguarda le singole modifiche proposte, si rileva quanto segue. 3.4.1. Il legislativo comunale, così come il Consiglio di Stato, ha avallato la modifica delle NAPR che prevedono ora un’altezza massima generalizzata degli edifici di 10 metri in caso di sopraelevazione (art. 38 cpv. 2 NAPR). Tale altezza era del resto già prevista per le nuove costruzioni (art. 38 cpv. 4 vNAPR), per cui, vista la difficoltà appalesatasi concretamente nell’applicazione della norma così come adottata e approvata con la revisione generale del piano regolatore, laddove veniva definita in modo indeterminato quale altezza massima l’altezza degli edifici contigui o adiacenti (art. 38 cpv. 2 vNAPR), e tenuto conto della volontà di non imporre troppi vincoli pianificatori e di indirizzo architettonico per i nuclei (cfr. sopra consid. 3.2.), la modifica del cpv. 2 dell’art. 38 NAPR nel senso di uniformare le altezze del nucleo a 10 metri è certamente legittima oltre che necessaria, senza per questo comportare a priori uno snaturamento della struttura caratteristica e tradizionale del nucleo. A questo proposito si rammenta che in ogni caso l’art. 39 NAPR prevede di sottoporre ad una commissione di esperti per un preavviso ogni intervento edilizio sui fondi inclusi nella zona del nucleo, il tutto nell’ottica di salvaguardia dei valori storici, ambientali e degli edifici di interesse storico-architettonico-spaziale indicati nei piani di rilievo, come specificatamente stabilito anche dall’art. 38 cpv. 1 NAPR. 3.4.2. Una maggiore occupazione della superficie edificata o nuove edificazioni fino ad un’occupazione massima del 35% (art. 38 cpv. 4 NAPR), è stata, a ragione, ritenuta dall’istanza inferiore conforme ai disposti dell’art. 21 LPT e 41 LALPT. Tale modifica, minima nei suoi contenuti, si è resa necessaria in particolare per ovviare all’impossibilità secondo il vecchio strumento pianificatorio di far capo a trasferimento di indici e concretizza gli obiettivi di uso razionale del territorio e di aumento delle possibilità edificatorie adottati con la revisione generale del piano regolatore, senza per questo stravolgerne i contenuti, nemmeno per quanto riguarda il dimensionamento delle zone edificabili (cfr. al riguardo rapporto di pianificazione dicembre 199, n. 5 pag. 11 e segg., n. 14 pag. 42 e segg.). Essa risulta pertanto di pubblico interesse e resiste alle critiche ricorsuali. 3.4.3. Anche le nuove disposizioni sulle distanze per edifici prospicienti separati da area pubblica e per edifici esistenti ricostruiti sui vecchi ingombri (art. 40 cpv. 2 e 3 NAPR) sono senz’altro sorrette da pubblico interesse. Anzi, un loro aggiornamento si imponeva alla luce dei riscontri concreti avuti nell’applicazione concreta di tali normative. L’autorità comunale aveva in effetti previsto degli allineamenti delle facciate per gli edifici lungo le aree pubbliche, così come indicato nei piani di rilievo. Tuttavia, l’applicazione dell’art. 124 LAC, in combinazione con gli art. 40 vNAPR e 39 RLE, avrebbe fatto obbligo di rispettare, in caso di trasformazioni sostanziali, la distanza di 4 metri. In riferimento pure agli obiettivi di uso razionale del territorio sanciti con la revisione del piano regolatore del 2001, queste incongruenze e contraddizioni sono state sanate con la presente variante nel senso che le distanze non vengono applicate per edifici prospicienti separati da area pubblica e per edifici che vengono ricostruiti su vecchi ingombri, privilegiando così l’allineamento delle facciate già previsto nel precedente piano regolatore. 4.   Considerato quanto sopra e i motivi addotti dalle precedenti istanze a sostegno di una modifica del piano regolatore, il principio della stabilità dei piani non risulta essere leso: con la modifica in oggetto l’autorità comunale ha inteso rendere attuabili concretamente gli obiettivi dichiarati e accettati della revisione dello strumento pianificatorio nel 2001 sulla base delle preesistenze e delle peculiarità della zona dei nuclei. La variante è quindi sorretta da un interesse pubblico sufficiente e si appalesava senz’altro necessaria a seguito del cambiamento della situazione giuridica dei fondi interessati. 5.   Visto quanto precede, il ricorso deve quindi essere respinto. La tassa di giustizia e le spese processuali sono poste a carico dei ricorrenti in solido (art. 28 PAmm). Al comune di Sorengo, che non si è avvalso del patrocinio di un legale, non vengono assegnate ripetibili. Per questi motivi, visti gli articoli di legge applicabili alla fattispecie; dichiara e pronuncia: 1.    Il ricorso è respinto. 2.    La tassa di giustizia di Fr. 2’000.- è posta a carico di __________. Non si assegnano ripetibili. 3.    Contro la presente decisione è dato ricorso in materia di diritto pubblico al Tribunale federale a Losanna entro il termine di 30 giorni dalla sua notificazione (art. 82 segg. LTF). Qualora non sia proponibile il ricorso in materia di diritto pubblico, entro il medesimo termine è ammesso il ricorso sussidiario in materia costituzionale al Tribunale federale (art. 113 segg. LTF). 4.   Intimazione a: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