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90.2006.43 vom 24. September 2007</w:t>
      </w:r>
    </w:p>
    <w:p>
      <w:r>
        <w:t>TI Tribunale d'appello, 2007-09-24, IT</w:t>
      </w:r>
    </w:p>
    <w:p>
      <w:r>
        <w:rPr>
          <w:b/>
        </w:rPr>
        <w:t xml:space="preserve">Quelle: </w:t>
      </w:r>
      <w:r>
        <w:t>https://mcp.opencaselaw.ch/entscheid/ti_gerichte_90.2006.43</w:t>
      </w:r>
    </w:p>
    <w:p>
      <w:r>
        <w:t>FR: TI_GERICHTE 90.2006.43 du 24 septembre 2007</w:t>
      </w:r>
    </w:p>
    <w:p>
      <w:r>
        <w:t>IT: TI_GERICHTE 90.2006.43 del 24 settembre 2007</w:t>
      </w:r>
    </w:p>
    <w:p>
      <w:pPr>
        <w:pStyle w:val="Heading2"/>
      </w:pPr>
      <w:r>
        <w:t>Regeste</w:t>
      </w:r>
    </w:p>
    <w:p>
      <w:r>
        <w:t>Nucleo storico: disamina dell'assetto planimetrico di un'area dedicata a nuova costruzione</w:t>
      </w:r>
    </w:p>
    <w:p>
      <w:pPr>
        <w:pStyle w:val="Heading2"/>
      </w:pPr>
      <w:r>
        <w:t>Erwägungen</w:t>
      </w:r>
    </w:p>
    <w:p>
      <w:r>
        <w:rPr>
          <w:b/>
        </w:rPr>
        <w:t>E. 2</w:t>
      </w:r>
    </w:p>
    <w:p>
      <w:r>
        <w:t>L'insorgente ritiene carente la motivazione della decisione impugnata, in quanto il Consiglio di Stato avrebbe respinto il ricorso, formulando semplicemente giustificazioni sbrigative e generiche a sostegno dei vincoli che gravano il mapp. 83. A tale proposito, si osserva che corrisponde ai principi generali del diritto pubblico e in particolare al diritto di essere sentito che i motivi della decisione debbano essere noti all’interessato. In linea con questo principio, l’art. 26 cpv. 1 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(RDAT I-1999 n. 27, consid. 3b). È quanto è avvenuto nel presente caso. Il Consiglio di Stato ha esposto nelle linee essenziali i motivi per i quali ha respinto il gravame e condiviso, malgrado le censure del ricorrente, la pianificazione comunale all'esame. Ciò gli è d’altronde bastato per presentare un più che circostanziato ricorso.</w:t>
      </w:r>
    </w:p>
    <w:p>
      <w:r>
        <w:rPr>
          <w:b/>
        </w:rPr>
        <w:t>E. 3</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4.   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24 segg. LALPT) - disciplinano l'uso ammissibile del suolo (art. 14 cpv. 1 LPT). Essi devono delimitare, in primo luogo, le zone edificabili, agricole e protette (art. 14 cpv. 2 LPT). Il compito di operare una separazione all'interno delle zone edificabili spetta al diritto cantonale ed alle autorità incaricate della pianificazione (cfr. Flückiger , Commentario LPT, ad art. 15 n. 11 con rinvii; art. 28 cpv. 2 lett. a-d LALPT), come peraltro ricorda l'art. 18 LPT. Il territorio fabbricabile dev'essere suddiviso secondo le rispettive necessità, private o pubbliche: quelle dell'abitazione, dell'artigianato, dell'industria, del commercio, dell'amministrazione, dello sport, della cultura, del tempo libero e così via, ma anche secondo necessità estetiche o di preservazione dei siti ( Flückiger , op. cit., ad art. 15 n. 12). Questo conduce a delimitare delle zone edificabili con funzioni differenti che, oltre a soddisfare i requisiti dell'art. 15 LPT, devono ossequiare gli scopi e i principi di quest'ultima legge federale (art. 1 cpv. 2 lett. b, 3 cpv. 3 LPT; Zen-Ruffinen/Guy-Ecabert , Aménagement du territoire, construction, expropriation, Berna 2001, n. 509). La diversificazione della zona fabbricabile persegue diversi obiettivi: la suddivisione dei volumi delle costruzioni, ad esempio la ricerca della qualità estetica in funzione dei vari settori dell'agglomerato (cfr. Zen-Ruffinen/Guy-Ecabert , op. cit., n. 514; Flückiger , ibidem ). Possono essere istituite, ad esempio, delle zone "nuclei", oppure prevedere zone edificabili nelle quali l'attività edilizia sia limitata agli edifici esistenti, per i quali cioè sia ammessa solo la rinnovazione, la trasformazione o la ricostruzione (DFGP/UPT, Commento LPT, Berna 1981 ad art. 18 n. 6 e n. 10). La tutela dei nuclei può essere giustificata anche nell'ottica del rispetto del paesaggio, menzionato tra i principi pianificatori (art. 3 cpv. 2 LPT; cfr. anche art. 17 cpv. 1 lett. c. LPT). 5.   Il ricorrente critica l'impostazione urbanistica e pianificatoria relativa alla porzione del mapp. 83, inclusa nella zona del nucleo, adducendo la violazione della garanzia della proprietà. Esso non condivide in particolare l'estensione del nuovo ingombro volumetrico ammesso che, oltre ad essere inferiore a quanto definito dalla previgente pianificazione, causerebbe in pratica l'inedificabilità del suo fondo.</w:t>
      </w:r>
    </w:p>
    <w:p>
      <w:r>
        <w:rPr>
          <w:b/>
        </w:rPr>
        <w:t>E. 6</w:t>
      </w:r>
    </w:p>
    <w:p>
      <w:r>
        <w:t>Una restrizione di diritto pubblico è compatibile con la garanzia della proprietà sancita dall'art. 26 Cost. solo se si fonda su di una base legale, è giustificata da un interesse pubblico preponderante e rispetta il principio della proporzionalità (art. 36 cpv. 1-3 Cost.). La legalità, l'interesse pubblico e la proporzionalità costituiscono d'altra parte dei principi giuridici fondamentali che servono alla delimitazione del potere statuale nello Stato di diritto (art. 5 cpv. 1 e 2 Cost.) e che devono pertanto sempre essere rispettati nell'attività dello Stato. Nella fattispecie, non è contestata la sussistenza di una base legale, comunque data (cfr. consid. 4). Non resta quindi che esaminare l'interesse pubblico e la proporzionalità della pianificazione in discussione.</w:t>
      </w:r>
    </w:p>
    <w:p>
      <w:r>
        <w:rPr>
          <w:b/>
        </w:rPr>
        <w:t>E. 6.1</w:t>
      </w:r>
    </w:p>
    <w:p>
      <w:r>
        <w:t>Prima di entrare nel merito occorre rilevare che il concetto di interesse pubblico è un concetto dinamico, che evolve con la società riflettendone esigenze ed aspirazioni (Imboden / Rhinow / Krähenmann, Schweizerische Verwaltungsrechtsprechung, Nr. 57 B II). In linea generale si ritiene pubblico l'interesse che coinvolge la generalità dei cittadini o una sua frazione significativa e che compete al potere pubblico o promuovere nell'esercizio delle sue funzioni. L'interesse pubblico a un provvedimento di pianificazione del territorio è segnatamente dato quando la sua adozione corrisponde ad un bisogno importante, chiaramente avvertito dalla collettività. Tale interesse deve prevalere sui contrapposti interessi pubblici e privati in giuoco (RDAT I-2000 n. 24 consid. 4.1. con rinvii; Zen-Ruffinen / Guy-Ecabert , op. cit., n. 98-102; Scolari , Diritto amministrativo, parte generale, 2.a edizione, Cadenazzo 2002, n. 558 segg.).</w:t>
      </w:r>
    </w:p>
    <w:p>
      <w:r>
        <w:rPr>
          <w:b/>
        </w:rPr>
        <w:t>E. 6.1.1</w:t>
      </w:r>
    </w:p>
    <w:p>
      <w:r>
        <w:t>La zona del nucleo comprende l'insediamento originario di __________, che presenta un tessuto spaziale ed architettonico variegato ed interessante. Il previgente piano regolatore l'assoggettava ad un piano particolareggiato, approvato dal Consiglio di Stato con risoluzione n. 3101 del 2 maggio 1990. In seguito, il piano particolareggiato è stato modificato con alcune varianti, tramite cui, fra l'altro, la porzione a monte del terreno del ricorrente, in precedenza esclusa dalla zona edificabile, è stata inclusa nel suo perimetro ed attribuita alla categoria d'intervento D, " nuova edificazione ". (cfr. risoluzione governativa 22 febbraio 1994, n. 1436, scheda del piano particolareggiato n. 56, doc. in atti). Con la revisione generale del piano regolatore, di cui ci si occupa, il comune ha dal profilo formale abbandonato lo strumento del piano particolareggiato, integrando la zona del nucleo nel piano delle zone, disciplinandola attraverso un piano di dettaglio aggiuntivo in scala 1:500. Dal profilo sostanziale, ritenuto che le aspettative d'utilizzazione del nucleo, sino ad allora poco soddisfacenti, comportavano un approfondimento sia delle modalità d'intervento sui singoli fabbricati, sia delle misure di protezione degli oggetti architettonicamente più significativi, nonché delle condizioni di strutturazione degli spazi liberi e delle aree pubbliche (cfr. rapporto di pianificazione marzo 2004, pag. 8), sono state riviste in generale le categorie d'intervento. Con ciò, sono stati chiaramente mantenuti i concetti e gli obiettivi generali di salvaguardare le caratteristiche originarie più significative del nucleo e di promuovere un più razionale utilizzo dei fondi e delle parti già incisivamente trasformate. A tale scopo la zona del nucleo è stata suddivisa, per quanto qui interessa, nelle seguenti componenti: gli spazi liberi privati (art. 22 NAPR) delle corti, degli orti e dei giardini, devono rimanere liberi da costruzioni. Gli edifici determinanti il tessuto tradizionale (art. 24 NAPR), possono essere ristrutturati nel rispetto delle caratteristiche edilizie tradizionali. I manufatti secondari e/o accessori (art. 26 NAPR), possono essere mantenuti e riparati, ad esclusione di lavori di trasformazione o cambiamento di destinazione. In caso di demolizione di questi manufatti, il sedime viene considerato come spazio libero privato. Infine, sono stati previsti nuovi ingombri volumetrici ammessi (art. 27 NAPR): con lo scopo di valorizzare gli spazi pubblici del tessuto tradizionale e per garantire spazi liberi organicamente connessi tra di loro sono autorizzati ampliamenti, riedificazioni e nuove costruzioni nel rispetto degli ingombri massimi indicati dal piano. Come anticipato in narrativa, il riassetto della parte del mapp. 83 inclusa nella zona del nucleo, il cui perimetro è stato leggermente esteso a valle rispetto alla pianificazione previgente (cfr. con scheda del piano particolareggiato n. 56), ha comportato l'avversata riduzione dell'area edificabile con la definizione al suo centro del nuovo ingombro volumetrico ammesso , a pianta trapezoidale, posto a confine con il viottolo che separa il fondo all'esame dal mapp. 76 . Le fasce di terreno residue, che circondano l'ingombro edificabile sugli altri tre lati (a monte, con una profondità di circa 3 m dal mapp. 75, a sud, con una profondità di circa 3 m dal mapp. 70 e a valle, con una profondità di circa 4.5 m dal perimetro della zona del nucleo) sono state quindi definite quali spazi liberi privati . Inoltre, il piccolo magazzino esistente, che è ubicato a cavallo fra il nuovo ingombro volumetrico ammesso e gli spazi liberi privati è stato censito quale manufatto secondario e/o accessorio.</w:t>
      </w:r>
    </w:p>
    <w:p>
      <w:r>
        <w:rPr>
          <w:b/>
        </w:rPr>
        <w:t>E. 6.1.2</w:t>
      </w:r>
    </w:p>
    <w:p>
      <w:r>
        <w:t>Ferme queste premesse, se da un lato la sussistenza di un interesse pubblico alla tutela e alla salvaguardia delle caratteristiche e peculiarità del nucleo storico di __________ è senz'altro data, ciò che il ricorrente peraltro non contesta, dall'altro lato occorre esaminare se in questo contesto i vincoli che formano il nuovo assetto e gravano il mapp. 83 appaiono giustificati a fronte della definizione su quel fondo dell'area per il nuovo ingombro volumetrico ammesso , ritenuta d'estensione insufficiente dall'insorgente.</w:t>
      </w:r>
    </w:p>
    <w:p>
      <w:r>
        <w:rPr>
          <w:b/>
        </w:rPr>
        <w:t>E. 6.1.3</w:t>
      </w:r>
    </w:p>
    <w:p>
      <w:r>
        <w:t>Innanzitutto, più che legittimo appare il limite posto a definizione di quest'area a valle. Ripreso tale e quale dal previgente piano particolareggiato, esso mantiene l'allineamento dell'eventuale futura costruzione sul mapp. 83 con quella esistente sul limitrofo mapp. 70 che, con gli edifici posti sui mapp. 69 e 646, forma ad oriente un fronte edificato del nucleo già sufficientemente consolidato. Per contro, la traslazione di quel limite più a valle, così come pretende il ricorrente, causerebbe un inspiegabile effetto di rottura, in contrasto con le ragioni urbanistiche testé illustrate.</w:t>
      </w:r>
    </w:p>
    <w:p>
      <w:r>
        <w:rPr>
          <w:b/>
        </w:rPr>
        <w:t>E. 6.1.4</w:t>
      </w:r>
    </w:p>
    <w:p>
      <w:r>
        <w:t>Per quanto concerne invece l'arretramento del limite di quell'area rispetto al confine con il mapp. 70, va rilevato che questo fondo, rispetto a quello del ricorrente, fatta astrazione del manufatto accessorio sul mapp. 83, comunque irrilevante per la fattispecie, è già edificato a confine con un'abitazione di tre piani, classificata dal piano del nucleo come edificio determinante il tessuto tradizionale , con la possibilità di ampliamento ( nuovo ingombro volumetrico ammesso ), rivolta proprio su quel lato. Ora, ove non sia diversamente stabilito, le distanze tra edifici nella zona nucleo sono disciplinate dall'art. 3 NAPR, che dichiara applicabile l'art. 124 LAC, il quale non permette di erigere fabbriche in vicinanza di una fabbrica altrui se non alle distanze seguenti: di metri quattro se nel muro dell'edificio preesistente vi sono porte, finestre o altre aperture a prospetto; di metri tre se vi sono finestre o altre aperture a semplice luce . Ritenuto che un nuovo ingombro volumetrico ammesso determina la dimensione planimetrica massima dei nuovi ingombri e che il piano del nucleo ne definisce uno sia sul mapp. 83 che sul mapp. 70, fra di essi prospicienti, la distanza che li separa di circa 3 m garantisce quantomeno la massima edificabilità, su quel lato, anche per il proprietario che edifica in un secondo tempo, qualora il primo avesse edificato con finestre o altre aperture a semplice luce, mentre lo obbliga ad un ragionevole arretramento supplementare di 1 m, nel caso in cui il primo avesse predisposto aperture a prospetto. Di conseguenza, la definizione su quel fronte delle aree per un nuovo ingombro volumetrico ammesso appare a questo tribunale come una soluzione solida che, conciliando gli interessi dei vicini, rende in concomitanza attuabile l'obiettivo di promuovere un più razionale utilizzo dei fondi e delle parti già incisivamente trasformate (cfr. supra, consid. 6.1.1.). Obiettivo, questo, che ha informato la revisione della zona del nucleo.</w:t>
      </w:r>
    </w:p>
    <w:p>
      <w:r>
        <w:rPr>
          <w:b/>
        </w:rPr>
        <w:t>E. 6.1.5</w:t>
      </w:r>
    </w:p>
    <w:p>
      <w:r>
        <w:t>Differenti, infine, le giustificazioni a sostegno del limite posto a monte, a distanza di circa 3 m dal mapp. 75. In effetti, quest'ultimo fondo risulta privo di edificazioni, oltre che presentare una superficie eccessivamente modesta per accoglierne. Tant'è che il piano del nucleo lo assegna, con parte di quelli adiacenti, alla categoria degli spazi liberi privati . Orbene, come si è constatato dall'esperimento del sopralluogo e a conferma di quanto si può agevolmente evincere dalla semplice visione del piano della zona del nucleo, l'area formata da questo fondo, unitamente alle porzioni delle superfici limitrofe, fra cui anche la striscia del fondo del ricorrente attribuita alla contestata categoria degli spazi liberi privati , concorre a strutturare, in relazione agli edifici esistenti e a quelli che sorgeranno sui tre lati, uno spazio vuoto a forma di corte, che fa evidentemente astrazione dei confini particellari. Questa corte, molto ben delimitata, trova perfettamente sfogo nell'area pubblica, costituita dal viottolo pedonale che costeggia a nord anche il mapp. 83, oltre cui insiste l'imponente mole dell'edificio al mapp. 76, che la chiude sul quarto lato. Tale spazio è senz'altro di pregio dal profilo urbanistico, in quanto situato in un settore del nucleo particolarmente denso di edificazioni, esistenti e future, che necessita di essere riequilibrato e valorizzato attraverso l'assetto di una confacente area aperta. Un'eventuale fabbricazione al suo interno, con l'ampliamento fino a confine con il mapp. 75 dell'area per il nuovo ingombro volumetrico ammesso sul mapp. 83, così come richiesto dal ricorrente, avrebbe quale risultato, oltre che creare un effetto di occlusione sulla costruzione esistente al mapp. 70 e di corrompere l'assetto della corte stessa, l'irrimediabile alterazione del tessuto del nucleo, il cui valore non è dato, peraltro, in quel luogo, dalla qualità delle costruzioni o manufatti in particolare, ma dal loro insieme, soprattutto dalle relazioni spaziali che intercorrono tra le singole costruzioni e tra queste e l'ambiente circostante, da cui nasce la necessità della tutela dello stesso (cfr. art. 27 cifra 1 NAPR; rapporto di pianificazione, marzo 2004, pag. 6, punto 4, pag. 8 e 11; commento alle NAPR, pag. 7, ad art. 22). In particolar modo, l'alternarsi di spazi vuoti (piazze e vie, ma anche, come nel caso dell'insorgente, corti, giardini e orti) e costruzioni caratterizza tutto l'abitato. La sussistenza di un interesse pubblico a sostegno della contestata misura pianificatoria appare quindi evidente.</w:t>
      </w:r>
    </w:p>
    <w:p>
      <w:r>
        <w:rPr>
          <w:b/>
        </w:rPr>
        <w:t>E. 6.2</w:t>
      </w:r>
    </w:p>
    <w:p>
      <w:r>
        <w:t>Verificata la presenza di un interesse pubblico, occorre ora esaminare se la pianificazione contestata risulta ragionevole, attuabile e sopportabile; segnatamente se non sacrifica sproporzionatamente gli interessi privati contrapposti. Se così fosse, violerebbe il principio della proporzionalità (DTF 118 Ia 394). A tale riguardo, il ricorrente allega che la riduzione dell'area per il nuovo ingombro volumetrico ammesso causerebbe di fatto l'inedificabilità del suo terreno.</w:t>
      </w:r>
    </w:p>
    <w:p>
      <w:r>
        <w:rPr>
          <w:b/>
        </w:rPr>
        <w:t>E. 6.2.1</w:t>
      </w:r>
    </w:p>
    <w:p>
      <w:r>
        <w:t>Ai considerandi precedenti sono state diffusamente spiegate le ragioni di ordine essenzialmente urbanistico ed edilizio che hanno condotto il comune a ridefinire, attraverso l'impianto di spazi liberi privati , l'area edificabile sul mapp. 83, costituita dal nuovo ingombro volumetrico ammesso . Ragioni, queste, che riflettono e si compenetrano oltretutto negli stessi scopi della categoria dei nuovi ingombri volumetrici ammessi : vale a dire valorizzare gli spazi pubblici del tessuto tradizionale e garantire spazi liberi organicamente connessi tra di loro (art. 27 cifra 1 NAPR). Di modo che, la previsione pianificatoria per una nuova edificazione nel nucleo si giustifica soltanto se in funzione di una confacente valorizzazione delle relazioni spaziali, attraverso la salvaguardia degli equilibri fra vuoti e pieni. È appunto questo il risultato ottenuto con il nuovo assetto del mapp. 83. La necessità e l’idoneità delle restrizioni all'esame sono pertanto date.</w:t>
      </w:r>
    </w:p>
    <w:p>
      <w:r>
        <w:rPr>
          <w:b/>
        </w:rPr>
        <w:t>E. 6.2.2</w:t>
      </w:r>
    </w:p>
    <w:p>
      <w:r>
        <w:t>Per quanto riguarda la proporzionalità in senso stretto, va considerato che, malgrado la riduzione rispetto alla previgente pianificazione, la superficie edificabile del fondo, corrispondente all'area del nuovo ingombro volumetrico ammesso , assomma comunque a circa 85 mq. Ritenuta un'altezza massima ammessa di 10 m misurati al filo di gronda (art. 27 cifra 2 NAPR), ciò assicura uno sfruttamento edilizio più che congruo del fondo del ricorrente. Per tutti i predetti motivi, dunque, la pianificazione contestata regge l'esame anche dal profilo del principio della proporzionalità.</w:t>
      </w:r>
    </w:p>
    <w:p>
      <w:r>
        <w:rPr>
          <w:b/>
        </w:rPr>
        <w:t>E. 6.3</w:t>
      </w:r>
    </w:p>
    <w:p>
      <w:r>
        <w:t>Riassumendo, i vincoli gravanti il mapp. 83 sono sorretti da un sufficiente interesse pubblico e non violano il principio della proporzionalità. Il ricorso deve dunque essere respinto anche su questo punto. 7.   L'insorgente lamenta infine la violazione del principio della parità di trattamento e della sicurezza del diritto per il fatto che il mapp. 83 sarebbe stato l'unico fondo del nucleo che con la revisione all'esame avrebbe subito una restrizione edificatoria, quando tutti gli altri fondi toccati da una modifica avrebbero invece beneficiato soltanto di vantaggi. 7.1. Il principio dell'uguaglianza dinanzi alla legge, sancito dall'art.</w:t>
      </w:r>
    </w:p>
    <w:p>
      <w:r>
        <w:rPr>
          <w:b/>
        </w:rPr>
        <w:t>E. 8</w:t>
      </w:r>
    </w:p>
    <w:p>
      <w:r>
        <w:t>cpv. 1 Cost. (e in precedenza dall'art. 4 vCost.),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7.2. In concreto, come esaminato in precedenza, i motivi che hanno fondato un trattamento specifico per il mapp. 83, dati dalla sua ubicazione, sul margine orientale del nucleo, dalla costruzione (manufatto secondario e/o accessiorio) che vi insiste, che il piano del nucleo intende evidentemente scoraggiare auspicandone la demolizione (cfr. art. 25 NAPR), dal contesto densamente edificato in cui si trova inserito, che necessita di una particolare attenzione dal profilo dell'assetto e della qualità degli spazi privati e pubblici, sono senza dubbio oggettivi e ragionevoli. Meritano, pertanto, conferma. Comunque sia, contrariamente a quanto sembrerebbe sostenere il ricorrente, il comune, con la revisione di cui ci si occupa, non si è limitato a riconsiderare soltanto gli assetti delle aree di nuova edificazione (color rosso in legenda: nuovo ingombro volumetrico ammesso ), bensì ha riesaminato in maniera più o meno rilevante tutte le categorie d'intervento del previgente piano particolareggiato, come pure ha riconsiderato la loro attribuzione alle diverse porzioni dell'insediamento, aggiornando in tal modo tutto il concetto pianificatorio che informava il nucleo. Il confronto dei piani consente di verificare agevolmente che non soltanto il mapp. 83 ha subito un aggravio di vincoli rispetto alla pianificazione particolareggiata precedente. Si ricorda, per formulare qualche esempio, che la chiesa al mapp. 47, di cui all'epoca si tutelava semplicemente la volumetria, è ora censita quale edificio protetto (art. 23 NAPR), rispettivamente, che le facciate degli edifici ai mapp. 55, 56 e 60 sono adesso integralmente interessate da un vincolo specifico di protezione (art. 24 ciffra 2 NAPR), e che infine, per venire in media res , l'area destinata a nuova edificazione è stata eliminata dai mapp. 642-552, nonché notevolmente ridotta sui mapp. 36 e 648. La censura ricorsuale riferita alla violazione della parità di trattamento va dunque considerata priva di fondamento, al pari della pretesa violazione del principio della stabilità del piano e della sicurezza del diritto (art. 21 cpv. 2 LPT e 41 LALPT): non v'è dubbio che lo strumento pianificatorio riguardante il nucleo, a più di sedici anni dall'approvazione del piano particolareggiato (cfr. risoluzione del Consiglio di Stato n. 3101 del 2 maggio 1990) e a dodici anni dall'inserimento nel suo perimetro della porzione a monte del mapp. 83 (cfr. risoluzione del Consiglio di Stato n. 1436 del 22 febbraio 1994), meritava di essere verificato e, se del caso, modificato, come, d'altra parte, proprio la precedente disamina dell'assetto del mapp. 83 sta a dimostrare. 8.   In conclusione, la decisione pianificatoria comunale e la conseguente approvazione governativa devono essere per questi motivi tutelate ed il ricorso integralmente respinto. La tassa di giudizio e le spese devono essere poste a carico del ricorrente (art. 28 PAmm). Per questi motivi, visti gli articoli di legge applicabili alla fattispecie, dichiara e pronuncia: 1.   Il ricorso è respinto. 2.   Il ricorrente è condannato al pagamento delle tasse di giudizio e delle spese per complessivi fr. 1'800.- (milleottocento).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3.   Intimazione a: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