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90.2006.3 vom 3. Oktober 2007</w:t>
      </w:r>
    </w:p>
    <w:p>
      <w:r>
        <w:t>TI Tribunale d'appello, 2007-10-03, IT</w:t>
      </w:r>
    </w:p>
    <w:p>
      <w:r>
        <w:rPr>
          <w:b/>
        </w:rPr>
        <w:t xml:space="preserve">Quelle: </w:t>
      </w:r>
      <w:r>
        <w:t>https://mcp.opencaselaw.ch/entscheid/ti_gerichte_90.2006.3</w:t>
      </w:r>
    </w:p>
    <w:p>
      <w:r>
        <w:t>FR: TI_GERICHTE 90.2006.3 du 3 octobre 2007</w:t>
      </w:r>
    </w:p>
    <w:p>
      <w:r>
        <w:t>IT: TI_GERICHTE 90.2006.3 del 3 ottobre 2007</w:t>
      </w:r>
    </w:p>
    <w:p>
      <w:pPr>
        <w:pStyle w:val="Heading2"/>
      </w:pPr>
      <w:r>
        <w:t>Regeste</w:t>
      </w:r>
    </w:p>
    <w:p>
      <w:r>
        <w:t>Conferma variante del piano regolatore poiché ricorso presenta argomentazioni in gran parte generiche e non di diritto e per il resto infondate - condizioni ricorso dell'associazione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ricevibile, il ricorso è respinto. 2.    La tassa di giustizia di fr. 1'800.- (milleottocento) è posta a carico dei ricorrenti RI 1, RI 2 e RI 3, in solido. Essi rifonderanno, in ragione di 1/3 ciascuno, fr. 1'200.- (milleduecento) a titolo di ripetibili al comune di PI 1 e fr. 1'200.- (milleduecento) sempre per ripetibili a CO 3. 3.    Contro la presente decisione è dato ricorso in materia di diritto pubblico al Tribunale federale a Losanna entro il termine di 30 giorni dalla sua notificazione (art. 82 segg. LTF). Qualora non sia proponibile il ricorso in materia di diritto pubblico, entro il medesimo termine è ammesso il ricorso sussidiario in materia costituzionale al Tribunale federale (art. 113 segg. LTF).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