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90.2005.69 vom 22. Januar 2007</w:t>
      </w:r>
    </w:p>
    <w:p>
      <w:r>
        <w:t>TI Tribunale d'appello, 2007-01-22, IT</w:t>
      </w:r>
    </w:p>
    <w:p>
      <w:r>
        <w:rPr>
          <w:b/>
        </w:rPr>
        <w:t xml:space="preserve">Quelle: </w:t>
      </w:r>
      <w:r>
        <w:t>https://mcp.opencaselaw.ch/entscheid/ti_gerichte_90.2005.69</w:t>
      </w:r>
    </w:p>
    <w:p>
      <w:r>
        <w:t>FR: TI_GERICHTE 90.2005.69 du 22 janvier 2007</w:t>
      </w:r>
    </w:p>
    <w:p>
      <w:r>
        <w:t>IT: TI_GERICHTE 90.2005.69 del 22 gennaio 2007</w:t>
      </w:r>
    </w:p>
    <w:p>
      <w:pPr>
        <w:pStyle w:val="Heading2"/>
      </w:pPr>
      <w:r>
        <w:t>Regeste</w:t>
      </w:r>
    </w:p>
    <w:p>
      <w:r>
        <w:t>Inclusione di una villa e di un parco in zona nucleo al quale appartiene anche al fine di tutela del nucleo</w:t>
      </w:r>
    </w:p>
    <w:p>
      <w:pPr>
        <w:pStyle w:val="Heading2"/>
      </w:pPr>
      <w:r>
        <w:t>Erwägungen</w:t>
      </w:r>
    </w:p>
    <w:p>
      <w:r>
        <w:rPr>
          <w:b/>
        </w:rPr>
        <w:t>E. 1</w:t>
      </w:r>
    </w:p>
    <w:p>
      <w:r>
        <w:t>La competenza del Tribunale cantonale amministrativo, in cui è stato integrato il Tribunale della pianificazione del territorio con effetto al 14 luglio 2006 (BU 2006, pag. 215 segg.), è data, il ricorso tempestivo (art. 38 cpv. 1 LALPT) e la legittimazione del ricorrente certa (art. 38 cpv. 4 lett. b LALPT). Il gravame è dunque ricevibile in ordine.</w:t>
      </w:r>
    </w:p>
    <w:p>
      <w:r>
        <w:rPr>
          <w:b/>
        </w:rPr>
        <w:t>E. 2</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II-2001 n. 78 consid. 6b; II-1999 n. 27 consid. 3). Il potere cognitivo del Tribunale cantonale amministrativo è invece circoscritto alla violazione del diritto (art. 38 cpv. 2 LALPT; RDAT cit., ibidem ; inoltre II-1997 n. 23); fanno eccezione - per poter ossequiare l'art. 33 cpv. 3 lett. b LPT - i casi in cui è impugnata una modifica del piano regolatore disposta d'ufficio dal Consiglio di Stato.</w:t>
      </w:r>
    </w:p>
    <w:p>
      <w:r>
        <w:rPr>
          <w:b/>
        </w:rPr>
        <w:t>E. 3</w:t>
      </w:r>
    </w:p>
    <w:p>
      <w:r>
        <w:t>settembre 2002, 9 settembre 2002, 16 giugno 2003 [preceduta dal messaggio municipale 9/2003 del 19 maggio 2003], 17 giugno 2003 ed infine il 3 novembre 2002, in cui è stato votato il complesso del piano regolatore. Le varie fasi della procedura pianificatoria hanno avuto dunque luogo. Il fatto che il consiglio comunale abbia operato numerose (ed importanti) modifiche al progetto presentato dall'esecutivo e che la procedura sia in effetti stata lunga e laboriosa, nulla toglie alla validità della stessa, quantomeno nell'ottica, qui sola determinante, della LALPT. Infondata, la censura deve essere respinta. 4.   Accertata la validità formale della procedura di adozione del vincolo, occorre verificarne la validità sostanziale. Il ricorrente s'oppone infatti all'inclusione del proprio fondo nella zona nucleo, mentre chiede che lo stesso venga assegnato all'adiacente zona edificabile ZS2, che sostiene essere l'azzonamento del PR 1984. In particolare, egli intravede nella misura pianificatoria contestata una lesione del proprio diritto alla proprietà, poiché il provvedimento sarebbe in contrasto con il principio della legalità, carente d'interesse pubblico e sproporzionato. Sostiene poi che il proprio fondo versi in una situazione di incertezza giuridica. Tutte le censure devono essere respinte. 4.1. Una restrizione di diritto pubblico è compatibile con la garanzia della proprietà sancita dall'art. 26 Cost. solo se si fonda su una base legale, è giustificata da un interesse pubblico preponderante e rispetta il principio della proporzionalità (art. 36 cpv. 1-3 Cost.; DTF 129 I 337 consid. 4.1; 126 I 219 consid. 2). La legalità, l'interesse pubblico e la proporzionalità costituiscono d'altra parte dei principi giuridici fondamentali, che lo Stato deve sempre rispettare nelle proprie attività (art. 5 Cost.). 4.1.1. In merito alla contestazione della base legale, va precisato che i piani regolatori devono delimitare, in primo luogo, le zone edificabili, agricole e protette (art. 14 cpv. 2 LPT). Il compito di operare una separazione all'interno delle zone edificabili spetta al diritto cantonale ed alle autorità incaricate della pianificazione (cfr. Flückiger , Commentario LPT, ad art. 15 n. 11 con rinvii; art. 28 cpv. 2 lett. a-d LALPT), come peraltro ricorda l'art. 18 LPT. Il territorio fabbricabile dev'essere suddiviso secondo le rispettive necessità, private o pubbliche: quelle dell'abitazione, dell'artigianato, dell'industria, del commercio, dell'amministrazione, dello sport, della cultura, del tempo libero e così via, ma anche - come nella fattispecie in esame - secondo necessità estetiche o di preservazione dei siti ( Flückiger , op. cit., ad art. 15 n. 12). Questo conduce a delimitare delle zone edificabili con funzioni differenti che, oltre a soddisfare i requisiti dell'art. 15 LPT, devono ossequiare gli scopi e i principi di quest'ultima legge federale (art. 1 cpv. 2 lett. b, 3 cpv. 3 LPT; Zen-Ruffinen/Guy-Ecabert , Aménagement du territoire, construction, expropriation, Berna 2001, n. 509). La diversificazione della zona fabbricabile persegue diversi obiettivi: la suddivisione dei volumi delle costruzioni, ad esempio la ricerca della qualità estetica in funzione dei vari settori dell'agglomerato (cfr. Zen-Ruffinen/Guy-Ecabert , op. cit., n. 514; Flückiger , ibidem ). Possono essere istituite, ad esempio, delle zone "nuclei", oppure prevedere zone edificabili nelle quali l'attività edilizia sia limitata agli edifici esistenti, per i quali cioè sia ammessa solo la rinnovazione, la trasformazione o la ricostruzione (DFGP/UPT, Commento LPT, Berna 1981 ad art. 18 n. 6 e n. 10). La tutela dei nuclei può essere giustificata anche nell'ottica del rispetto del paesaggio, menzionato tra i principi pianificatori (art. 3 cpv. 2 LPT; cfr. anche art. 17 cpv. 1 lett. c. LPT). In concreto, la misura pianificatoria contestata gode quindi di ampia, chiara e sufficiente base legale. Nemmeno giova al ricorrente sostenere che vi sia stata violazione della LBC nella misura in cui l'inclusione nel nucleo del fondo comporta vincoli di mantenimento della villa. Il fatto che la tutela sia del nucleo che della villa e del parco potrebbe, eventualmente, essere fondata anche su questa legge - come suggerisce il ricorrente - nulla toglie alla validità delle basi legali succitate. 4.1.2. Quanto all'interesse pubblico, p rima di entrare nel merito, occorre rilevare che esso è un concetto dinamico, che evolve con la società riflettendone esigenze ed aspirazioni ( Imboden/ Rhinow/ Krähenmann , Schweizerische Verwaltungsrechtsprechung, Nr. 57 B II). In linea generale si ritiene pubblico l'interesse che coinvolge la generalità dei cittadini o una sua frazione significativa e che compete al potere pubblico o promuovere nell'esercizio delle sue funzioni. L'interesse pubblico a un provvedimento di pianificazione del territorio è segnatamente dato quando la sua adozione corrisponde ad un bisogno importante, chiaramente avvertito dalla collettività. Tale interesse deve prevalere sui contrapposti interessi pubblici e privati in giuoco (RDAT I-2000 n. 24 consid. 4.1. con rinvii; Zen-Ruffinen/ Guy-Ecabert , op. cit., n. 98-102; Scolari , Diritto amministrativo, parte generale, 2.a edizione, Cadenazzo 2002, n. 558 segg.). Nel caso concreto, la scelta di includere il fondo del ricorrente nella zona nucleo risponde ad un interesse pubblico chiaro e prevalente su quello del proprietario ed insorgente toccato dal provvedimento. Infatti, come è stato possibile rilevare in occasione della visita dei luoghi, il nucleo di PI 1 è di notevole pregio e, nonostante alcuni interventi più o meno recenti, ha mantenuto nel tempo le sue caratteristiche e peculiarità. La tutela dell'agglomerato può essere raggiunta unicamente studiando una pianificazione che imponga la salvaguardia del tessuto urbanistico e le caratteristiche locali. In quest'ottica, il fondo del ricorrente determina e caratterizza la vista che dal sottostante __________ si ha sul nucleo di PI 1. Ma non solo: il parco costituisce pure l'entrata est nel nucleo. L'imponente villa e - anzi, soprattutto - il verde che la circonda tutelano sia la caratteristica foggia del promontorio sormontato dal nucleo, di compatta edificazione, sia il distacco di questo dalla successiva zona edificabile estensiva. Infatti, è importante anche la pianificazione di quei fondi che fungono da cornice - quantomeno, se non addirittura parti integranti - al nucleo. Certo, la proprietà del ricorrente è già parzialmente edificata ed è, ad ogni modo, prevalentemente libera da costruzioni e per la maggior parte pianeggiante e atta all'edificazione. Tuttavia, un'eventuale ulteriore fabbricazione al suo interno, anche posta a nord dove esiste la cantina seminterrata, avrebbe quale risultato l'irrimediabile alterazione del nucleo, la cui bellezza non è, peraltro, data da costruzioni o manufatti in particolare (sebbene vi sia qualche elemento emergente, non da ultimo la villa del ricorrente inserita nell'ISOS con n. 0.08 e denominazione " Villa settecentesca con parco caratterizzante la vista sul nucleo dal sud "), ma dal loro insieme, soprattutto dalle relazioni spaziali che intercorrono tra le singole costruzioni e tra queste e l'ambiente circostante, da cui nasce la necessita della tutela del nucleo. In particolar modo, l'alternarsi di spazi vuoti (piazze e vie, ma anche, come nel caso del ricorrente, giardini privati e cintati) e costruzioni caratterizza tutto l'abitato. La decisione pianificatoria comunale, e la conseguente approvazione governativa, devono già per questi motivi essere tutelate ed il ricorso respinto. Si rileva inoltre che il nucleo di PI 1, quale villaggio, è meritevole di protezione, anche (ma non solo) perché è inserito nell'inventario degli insediamenti svizzeri da proteggere (ISOS, nell'acronimo tedesco che ha finito coll'imporsi anche nelle altre lingue; cfr. art. 5 LPN e l'appendice 1 dell'ordinanza del 9 settembre 1981 riguardante l'inventario degli insediamenti svizzeri da proteggere; OISOS). Nel nostro Cantone, ai comuni interessati dall'inventario ISOS - tra cui figura appunto il comune di PI 1 (come villaggio) - , la scheda 8.4 del piano direttore impone di promuovere la protezione degli insediamenti di importanza nazionale, mediante l'affinamento delle misure pianificatorie di protezione. La menzionata scheda obbliga quindi i comuni interessati dall'inventario ISOS a verificare se le norme e le misure pianificatorie di cui dispongono sono adeguate per la tutela e la valorizzazione dei loro insediamenti ed a modificarle opportunamente. Il piano direttore non stabilisce per il singolo proprietario in modo definitivo e vincolante la destinazione e l'uso ammissibile del fondo; esso vincola per contro le autorità (art. 9 cpv. 1 LPT, art. 22 cpv. 1 LALPT; DTF 119 Ia 285 consid. 3a), e vieta al comune di adottare piani regolatori che lo contrastano (cfr. art. 26 cpv. 2 LPT, art. 24 cpv. 3 LALPT; cfr, anche RDAT 2003-II n. 41 e riferimenti). Nell'allestimento del piano regolatore il comune è quindi tenuto ad osservare ed applicare i principi stabiliti nel piano direttore. In concreto, il comune non poteva dunque, senza violare la legge, ignorare il contenuto della scheda 8.4 del piano direttore, che in consonanza con quanto previsto nell'ISOS, impone una protezione speciale per il nucleo del villaggio ed auspica che, al fine di salvaguardare la struttura originale, gli spazi vuoti tra le abitazioni (orti e giardini) devono essere lasciati liberi da costruzioni e che i muri di cinta e di sostegno in pietra a vista che delimitano lo spazio stradale sia all'interno del nucleo che lungo la strada di accesso vengano conservati (cfr. ISOS, sviluppo dell'insediamento pag. 3). La scheda riporta, nella valutazione dell'insediamento nell'ambito della regione: " Pittoresco villaggio già caratterizzato da un'economia agricola e viticola, oggi sfruttato essenzialmente a fini residenziali, con silhouette chiaramente disegnata sul versante meridionale della collina che sovrasta il __________ omonimo, marcata dall'imponente volume di una villa settecentesca [ quella del ricorrente, NdR ] all'[e]stremità orientale del fronte principale .". La misura pianificatoria deve quindi essere confermata anche per questi motivi. 4.1.3. Quanto alla proporzionalità, tale principio esige che le restrizioni della proprietà siano idonee a raggiungere lo scopo di interesse pubblico desiderato, che tra i diversi provvedimenti a disposizione per conseguire tale scopo venga scelto quello che lede in misura minore gli interesse del proprietario, infine che sussista un rapporto ragionevole tra lo scopo di interesse pubblico perseguito ed i mezzi utilizzati (RDAT II-2000 n. 75 consid. 5b con rinvii; Zen-Ruffinen/ Guy-Ecabert , op. cit. n. 103-106; Scolari , op. cit., n. 595-610). In base alle pregresse considerazioni, non sarebbe nemmeno possibile una misura meno incisiva sulla proprietà del ricorrente e quindi la proporzionalità del provvedimento è senz'altro data. D'altronde, le norme di attuazione agli art. 32 e segg., prevedono in particolare per gli edifici volumetricamente compiuti, come quello al mapp. 2, la possibilità di riattazione e ristrutturazione, nel rispetto delle volumetrie, nonché della forma, della pendenza e delle quote esistenti dei tetti (cfr., segnatamente, art. 32 cifra 5 lett. b NAPR). Per le parti di fondi non edificati, l'art. 34 cpv. 3 lett. b NAPR consente inoltre la realizzazione di manufatti accessori necessari per il godimento dei fondi. Il ricorrente non si trova, quindi, nemmeno totalmente impossibilitato a sfruttare il proprio fondo dal punto di vista edificatorio. Un'eventuale indennità, per presunta diminuzione del valore del fondo a causa della misura pianificatoria contestata, esula comunque sia dalla presente procedura. 4.2. Il ricorrente non può, invece, essere seguito laddove pretende che il proprio fondo versi in una situazione d'incertezza giuridica in quanto, sostiene, la villa parrebbe essere un edificio volumetricamente compiuto secondo le norme di attuazione mentre dal rapporto di pianificazione sembra che le autorità avessero in realtà deciso di classificarlo tra gli edifici evolutivi . Innanzitutto il rapporto di pianificazione ha valore unicamente indicativo (art. 26 cpv. 2 LALPT) e non è dunque vincolante. Una simile volontà d'altronde non traspare nemmeno dal citato documento. In effetti, a pag. 37 dello stesso si fa riferimento a possibilità di sfruttare il sedime a seconda che la villa venga demolita o meno. Tuttavia, come ben emerge dalla nota posta immediatamente sotto del seguente tenore: " Si è già visto sopra che il Consiglio Comunale ha deciso di attribuire al nucleo il mappale 2, considerando 'volumetricamente compiuto' l'edificio esistente " , tale intenzione si riferiva al quella originaria (non adottata dal consiglio comunale) del municipio, ossia di includere il fondo nella zona ZS2. Infondato anche sotto questo aspetto, il ricorso non può essere accolto. 5.   In esito alle pregresse considerazioni, il ricorso dev'essere respinto e la tassa di giudizio posta a carico dell'insorgente (art. 28 PAmm). per questi motivi, visti gli articoli di legge in concreto applicabili; dichiara e pronuncia:</w:t>
      </w:r>
    </w:p>
    <w:p>
      <w:r>
        <w:rPr>
          <w:b/>
        </w:rPr>
        <w:t>E. 3.2</w:t>
      </w:r>
    </w:p>
    <w:p>
      <w:r>
        <w:t>Innanzitutto, in riferimento alle asserite violazioni della legge organica comunale, invano si cerca nel ricorso di prima istanza un esplicito riferimento a queste. Ma anche fosse, il ricorrente avrebbe dovuto insorgere nel termine di 15 giorni dalla pubblicazione ad opera del presidente del consiglio comunale (art. 213 cpv. 2 LOC). Il ricorso 1° aprile 2004 al Consiglio di Stato non ha rispettato tale termine: irricevibile davanti alla prima istanza, il gravame su queste censure dinanzi al Tribunale cantonale amministrativo dev'essere respinto. Nella misura in cui, invece, le censure relative alla LOC sono sollevate per la prima volta davanti a questo tribunale, esse sono irricevibili. Su questo punto, quindi, il ricorso non può in nessun caso essere accolto.</w:t>
      </w:r>
    </w:p>
    <w:p>
      <w:r>
        <w:rPr>
          <w:b/>
        </w:rPr>
        <w:t>E. 3.3</w:t>
      </w:r>
    </w:p>
    <w:p>
      <w:r>
        <w:t>Il ricorrente sostiene che la procedura di adozione del piano regolatore seguita dal comune configuri anche una violazione di quella della LALPT e che il Consiglio di Stato non l'abbia compiutamente esaminata, limitandosi a rilevare come non fossero stati introdotti ricorsi LOC in merito. La procedura prevista dalla LALPT sarebbe stata sovvertita, giacché vi sarebbe stata confusione tra autorità che allestisce e quella che addotta il piano, con particolare riferimento alla decisione 17 giugno 2003 del legislativo di affidare ad un consigliere comunale l'incarico di allestire le norme di attuazione. A torto, tuttavia.</w:t>
      </w:r>
    </w:p>
    <w:p>
      <w:r>
        <w:rPr>
          <w:b/>
        </w:rPr>
        <w:t>E. 3.3.1</w:t>
      </w:r>
    </w:p>
    <w:p>
      <w:r>
        <w:t>Innanzitutto, quanto all'esame operato dal Governo della regolarità dell' iter d'adozione del piano regolatore, l'affermazione del ricorrente secondo il quale l'Esecutivo cantonale non si sarebbe minimamente curato del problema non può essere condivisa. Il Consiglio di Stato ha al contrario esaminato questa censura, riconoscendo, peraltro, che la procedura di adozione è stata " alquanto laboriosa e oltremodo lunga " (risoluzione impugnata, pag. 73), ma non riscontrando gli estremi per un suo annullamento. Inoltre, in ingresso alla contestata decisione, il Governo ha ricostruito l' iter d'adozione del piano regolatore. La censura dell'insorgente s'appalesa sotto questo aspetto infondata.</w:t>
      </w:r>
    </w:p>
    <w:p>
      <w:r>
        <w:rPr>
          <w:b/>
        </w:rPr>
        <w:t>E. 3.3.2</w:t>
      </w:r>
    </w:p>
    <w:p>
      <w:r>
        <w:t>Circa la validità della procedura in quanto tale, le conclusioni a cui è giunto il Consiglio di Stato devono essere, inoltre, condivise, e la procedura ritenuta regolare. Infatti, il municipio ha indetto la serata informativa nel febbraio del 1994, e inviato il piano di indirizzo al dipartimento il 25 maggio successivo, cui ha fatto seguito l'esame preliminare 29 novembre 1994. Il 4 maggio 1995, ha avuto luogo la serata d'informazione sull'esito di quest'esame, cui han fatto seguito i messaggi municipali 5 giugno 2000 (n. 9/2000) e 19 febbraio 2002 (n. 2/2002). Indi, ha avuto luogo la procedura di adozione da parte del legislativo comunale, il quale ha dedicato numerose sedute alla revisione del piano regolatore (10 giugno 2002, 11 giugno 2002, 19 giugno 2002, 22 luglio 2002, 2 settembre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