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90.2005.32 vom 7. Februar 2006</w:t>
      </w:r>
    </w:p>
    <w:p>
      <w:r>
        <w:t>TI Tribunale d'appello, 2006-02-07, IT</w:t>
      </w:r>
    </w:p>
    <w:p>
      <w:r>
        <w:rPr>
          <w:b/>
        </w:rPr>
        <w:t xml:space="preserve">Quelle: </w:t>
      </w:r>
      <w:r>
        <w:t>https://mcp.opencaselaw.ch/entscheid/ti_gerichte_90.2005.32</w:t>
      </w:r>
    </w:p>
    <w:p>
      <w:r>
        <w:t>FR: TI_GERICHTE 90.2005.32 du 7 février 2006</w:t>
      </w:r>
    </w:p>
    <w:p>
      <w:r>
        <w:t>IT: TI_GERICHTE 90.2005.32 del 7 febbraio 2006</w:t>
      </w:r>
    </w:p>
    <w:p>
      <w:pPr>
        <w:pStyle w:val="Heading2"/>
      </w:pPr>
      <w:r>
        <w:t>Regeste</w:t>
      </w:r>
    </w:p>
    <w:p>
      <w:r>
        <w:t>ricorso contro una zona di pianificazione comunale</w:t>
      </w:r>
    </w:p>
    <w:p>
      <w:pPr>
        <w:pStyle w:val="Heading2"/>
      </w:pPr>
      <w:r>
        <w:t>Erwägungen</w:t>
      </w:r>
    </w:p>
    <w:p>
      <w:r>
        <w:rPr>
          <w:b/>
        </w:rPr>
        <w:t>E. 1</w:t>
      </w:r>
    </w:p>
    <w:p>
      <w:r>
        <w:t>la definizione dei tipi di attività compatibili, con particolare riferimento alla qualità degli insediamenti ed al carico ambientale generale ammissibile, segnatamente per la qualità dell'aria (difficoltà di dispersione degli inquinanti gassosi a causa delle condizioni meteorologiche generali che si esplicano sul fondovalle della __________ __________, dove si concentrano i principali insediamenti abitativi);</w:t>
      </w:r>
    </w:p>
    <w:p>
      <w:r>
        <w:rPr>
          <w:b/>
        </w:rPr>
        <w:t>E. 2</w:t>
      </w:r>
    </w:p>
    <w:p>
      <w:r>
        <w:t>i provvedimenti da intraprendere per attenuare la conflittualità che il traffico pesante provoca sulle condizioni di viabilità sia per l'accesso alla zona da sud (attraversamento di aree residenziali) che per la distribuzione interna alla zona industriale (infrastrutture inadeguate, di sicurezza per la mobilità lenta);</w:t>
      </w:r>
    </w:p>
    <w:p>
      <w:r>
        <w:rPr>
          <w:b/>
        </w:rPr>
        <w:t>E. 3</w:t>
      </w:r>
    </w:p>
    <w:p>
      <w:r>
        <w:t>l'urbanizzazione della zona industriale, in particolare la questione degli accessi, anche in relazione al necessario coordinamento con il centro di competenza per il controllo del traffico pesante e relativi svincoli (o semisvincoli) autostradali;</w:t>
      </w:r>
    </w:p>
    <w:p>
      <w:r>
        <w:rPr>
          <w:b/>
        </w:rPr>
        <w:t>E. 4</w:t>
      </w:r>
    </w:p>
    <w:p>
      <w:r>
        <w:t>la protezione delle acque, ritenuto che il comprensorio della zona di pianificazione è inserito nel settore Au di protezione delle acque. La misura ha lo scopo di consentire al municipio di approntare gli studi pianificatori e di salvaguardare la loro elaborazione fino al completamento dell'iter procedurale di approvazione. Nel comprensorio interessato la scheda descrittiva stabilisce come segue gli effetti dell'avversata zona: “In generale sono ammessi solo interventi di ordinaria manutenzione di edifici e di impianti esistenti; nuove costruzioni industriali possono essere eccezionalmente autorizzate dal municipio, alla condizione che le utilizzazioni proposte siano compatibili con l'urbanizzazione della zona e non conducano ad apprezzabili aumenti del traffico e di carico ambientale.” Il menzionato documento prevede infine che la zona di pianificazione entra in vigore con la sua pubblicazione ed ha una durata di cinque anni. 4.   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giuoco (RDAT I-2000 n. 24 consid. 4.1 con rinvii; Zen-Ruffinen/Guy-Ecabert, Aménagement du territoire, construction, expropriation, Berna 2001, n. 98-102; Scolari, Diritto amministrativo, parte generale, 2.a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op. cit., n. 595-610). 5.   Gli insorgenti non contestano la sussistenza di una base legale che legittimi il municipio ad emanare la controversa zona di pianificazione, la quale comporta indubitabilmente delle nuove restrizioni a carico dei loro fondi. Non resta quindi che esaminare l'interesse pubblico e la proporzionalità del provvedimento. 6.   6.1. L'adozione di una misura di salvaguardia della pianificazione presuppone, come requisito centrale, una seria intenzione di mutare l'ordinamento pianificatorio vigente (RDAT I-1995 n. 31 consid. 2b di fine; Ruch, op. cit., art. 27 n. 27); questo significa che deve sussistere un interesse pubblico sia alla modifica del piano di utilizzazione (piano regolatore a livello comunale) sia all'impiego transitorio dello strumento della zona di pianificazione (Ruch, op. cit., ad art. 27 n. 25 seg.). Il grado di concretizzazione di questa intenzione non dev'essere tuttavia necessariamente elevato, specialmodo quando il provvedimento è adottato, come si avvera nel nostro Cantone, dall'esecutivo comunale, che non è l'autorità competente ad adottare il piano di utilizzazione che la zona di pianificazione vuole tutelare (cfr. Ruch, op. cit., ad art. 27 n. 27 seg.; Zen-Ruffinen/Guy-Ecabert, Aménagement du territoire, construction, expropriation, Berna 2001, n. 457). 6.2. In concreto, il municipio di __________ ha dato avvio alla revisione del piano regolatore, approvato dal Consiglio di Stato il 5 agosto 1981. Nella risposta ai gravami il municipio spiega che, a quella data la zona industriale comunale, di circa 150'000 mq, era ancora occupata, quantomeno in parte, dagli stabilimenti di produzione della __________ SA, che hanno chiuso definitivamente i battenti al 31 dicembre 1994. La chiusura di questo impianto ha comportato la cessazione dell'attività di altre ditte legate allo stesso. Il panorama industriale e occupazionale locale è pertanto mutato in misura importante dopo la data di approvazione del piano regolatore, lasciando sul terreno costruzioni in parte fatiscenti, oltre a vaste aree smesse e poco attrattive. Secondo gli intendimenti dell'esecutivo di __________, la futura pianificazione della zona industriale dovrà coordinare quattro ordini di interessi, non sempre convergenti: permettere il mantenimento e lo sviluppo delle aziende esistenti; favorire l'insediamento di nuove attività di una certa qualità, risolvere i problemi viari, evitare infine un peggioramento della situazione ambientale ed eventualmente contribuire a migliorarla. Intanto la nuova pianificazione, giusta le indicazioni fornite dal municipio nelle risposte di causa, appare necessaria per precisare la destinazione del comparto industriale, attualmente disciplinata all'art. 49 NAPR, che ammette attività industriali, artigianali e a cielo aperto di ogni tipo. Questa disposizione non tiene conto dei problemi viari e della situazione ambientale locale. La qualità dell'aria a __________ e nella __________ __________ continua a peggiorare a causa dell'inquinamento indotto dalle industrie esistenti, dall'autostrada e dal cantiere __________, situato alle porte dell'abitato, superando sistematicamente i valori limite fissati nell'OIAt. Inoltre la revisione del piano regolatore, prosegue l'autorità intimata, è necessaria per ridefinire completamente gli accessi alla zona industriale, che non appaiono sufficienti. Il traffico attuale, caratterizzato da una quasi totalità di trasporti su strada, è insostenibile. L'accesso veicolare alla zona industriale ha luogo in prevalenza da sud, da dove proviene il traffico in uscita dallo svincolo autostradale di __________. I veicoli passano attraverso l'abitato di __________, svoltano verso __________ e proseguono sulla strada del __________, dal calibro e dal percorso inadeguati; esso è caratterizzato da due incroci pericolosi e si sovrappone, in parte, ad un itinerario ciclabile. L'urbanizzazione sotto l'aspetto viario della zona industriale dovrà essere coordinata con quella degli altri comuni, ed in particolare con quella adiacente e di ben maggiori dimensioni di __________, di circa 2,5 volte più estesa di quella di __________, dove, molto probabilmente, verrà costruito a breve-medio termine uno svincolo autostradale contemporaneamente ad un'area multiservizi (area di stoccaggio per ca. 400 veicoli pesanti, centro di controllo, centro di servizi e posteggi per veicoli leggeri). 6.3. Sulla scorta delle spiegazioni fornite dall'autorità intimata, l'intenzione del municipio di __________ di mutare l'ordinamento pianificatorio vigente appare più che sufficientemente dimostrata. In particolare è intenzione dell'esecutivo di quel comune di ridefinire i contenuti (tipologia delle attività ammissibili) e l'urbanizzazione del comprensorio della sponda destra del fiume __________ per quanto concerne la zona industriale, in vista di un miglioramento della qualità degli insediamenti e di un contenimento del loro inquinamento. Questo fine può senz'altro essere conseguito attraverso gli strumenti della pianificazione del territorio (in concreto la revisione del piano regolatore), anche se rientra, quantomeno in parte, negli obiettivi della legislazione sulla protezione dell'ambiente consegnati, in primo luogo, agli art. 74 Cost. e 1 cpv. 1 LPAmb. Le autorità incaricate della pianificazione del territorio devono in effetti tener conto, nelle loro decisioni, di numerose esigenze ecologiche, conformemente a quanto dispongono - segnatamente - gli 1 cpv. 2 lett. a-b e 3 cpv. 2 lett. c-d e cpv. 3 lett. b, 6 cpv. 2 lett. b-c e 17 LPT. La protezione dell'ambiente costituisce pertanto, indiscutibilmente, uno degli scopi della pianificazione del territorio; quest'ultima, a sua volta, rappresenta un mezzo per perseguire la tutela dell'ambiente (cfr. Tschannen, Bau- und Nutzungbeschränkungen aufgrund von umweltrechtlichen Vorschriften: Zusammenspiel von Umweltrecht und Raumplanung, pubbl. un URP 1998, 486 segg., 491; inoltre Hänni, Planungs-, Bau- und besonderes Umweltchutzrecht, Berna 2002, pag. 345 seg.). La pianificazione del territorio permette quindi in modo ottimale di impedire tempestivamente indesiderati sviluppi ed inquinamenti, mediante la delimitazione dello spazio e l'apprestamento delle condizioni quadro della protezione dell'ambiente (cfr. messaggio del Consiglio federale del 31 ottobre 1979 concernente la LPAmb, pubbl. in FF 1979 III 713 segg., 729; inoltre DTF 113 Ib 376 consid. 4b). Bisogna tuttavia vigilare affinché gli strumenti cantonali o comunali adottati secondo la LPT non interferiscano nel campo di applicazione della normativa federale sulla protezione dell'ambiente, poiché violerebbero la forza derogatoria di quest'ultima ancorata all'art. 49 cpv. 1 Cost. Ora, com'è noto, la giurisprudenza ritiene che il diritto federale sulla protezione dell'ambiente non impedisca al legislatore comunale di precisare la funzione assegnata dal piano regolatore a singole zone attraverso ulteriori normative di attuazione volte a definire più in dettaglio le caratteristiche delle costruzioni o degli impianti che possono essere insediati nelle stesse; questa precisazione ha luogo, generalmente, in funzioni delle ripercussioni ambientali che certi tipi di attività sogliono generare, preventivamente valutate in modo astratto e secondo criteri oggettivi (cfr. RDAT II-2000 n. 77 consid. 1b e 3; II-1994 n. 56 e relativi rinvii; inoltre Scolari, Commentario, Cadenazzo, 1996, ad art. 28 LALPT n. 250). Del pari, l'urbanizzazione delle zone edificabili, ancorché possa provocare dell'inquinamento e debba, di conseguenza, ossequiare anche la legislazione ambientale federale (RDAT I-1994 n. 67 consid. 2.3), costituisce un compito primordiale per il comune non solo per quanto concerne la sua pianificazione (art. 28 cpv. 2 lett. p LALPT, 5 cpv. 2 Lstr) ma anche la sua realizzazione (art. 19 cpv. 2 LPT, 78 seg. LALPT, 4 cpv. 2 Lstr). 6.4. I ricorrenti adducono che la zona industriale di __________ è già edificata e sfruttata in larga misura conformemente alla sua attuale funzione: una ridefinizione dei suoi contenuti, che dovrebbe essere oltretutto coordinata con le funzioni delle adiacenti zone industriali dei comuni di __________ e __________, potrebbe pertanto servire a poco. Affermano inoltre che una riduzione del carico ambientale può essere efficace solo se attuata sul complesso della zona industriale, che è però ubicata, per la maggior parte, sul territorio di __________ e, in misura minore, di __________, i cui municipi si sono pubblicamente dissociati dall'adozione del controverso provvedimento con comunicato congiunto 3 marzo 2005. Ora, questi indiscutibili elementi fattuali ridimensionano in misura significativa la possibilità di concretamente attuare gli ambiziosi obiettivi che si è prefisso il municipio di __________. Tuttavia, com'è stato spiegato, in questa sede non è, né potrebbe essere rimesso in forse, il fondamento della pianificazione che il municipio si propone di perseguire: basta che questo non appaia d'acchito, come si avvera nel caso in esame, manifestamente insostenibile. I ricorrenti muovono delle contestazioni anche in merito all'urbanizzazione della zona industriale, che essi ritengono sufficiente. Nondimeno l'accesso alla zona industriale implica pur sempre l'attraversamento di aree residenziali, degli incroci ed inoltre il sedime stradale interno alla stessa, che per una buona parte è inferiore ai 6 m di larghezza, appare inadeguato al traffico pesante. Anche il ripensamento dell'urbanizzazione del settore - che dipende comunque sia in grande parte dalle scelte che verranno operate a livello di azzonamento - non appare, prima facie, del tutto fuori luogo. Tanto più che gli accessi alla zona industriale potranno essere influenzati dalla realizzazione dello svincolo autostradale che il Consiglio di Stato ha intenzione di progettare (e realizzare) insieme all'area multiservizi prevista sui sedimi della __________, secondo quanto sta scritto nella risoluzione 6 dicembre 2005 in risposta all'interpellanza “Per la rapida realizzazione di un adeguato e più modesto centro di controllo dei mezzi pesanti in Ticino”. Intenzione che, secondo quanto afferma lo stesso Consiglio di Stato nell'appena menzionato documento, dovrebbe parimenti perseguire il risanamento della locale area industriale. 6.5. Fondata sotto il criterio dell'interesse pubblico, resta da esaminare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Trattasi pertanto di verificare, in primis, gli effetti della controversa zona di pianificazione, per determinare se e fino a che punto si giustifichi di mantenere la pianificazione comunale allo studio al riparo da iniziative edilizie che potrebbero seriamente comprometterla o comunque renderne più arduo lo svolgimento. In quest'ordine di idee la scheda descrittiva predisposta dall'autorità comunale concede, in generale, per l'area industriale interessata solo interventi di ordinaria manutenzione di edifici e impianti. Essa riserva tuttavia, in seguito, la facoltà per il municipio di derogare a questo principio, autorizzando a titolo eccezionale nuove costruzioni industriali, “alla condizione che le utilizzazioni proposte siano compatibili con l'urbanizzazione della zona e non conducano ad apprezzabili aumenti del traffico e di carico ambientale.” Se l'avversato provvedimento appare pertanto idoneo e nello stesso tempo necessario, da un lato, a perseguire la salvaguardia della pianificazione in fieri, va dunque, d'altro canto, evidenziato che la regolamentazione degli effetti della zona prevede un apprezzabile elemento di flessibilità nell'interesse dei proprietari, poiché non si limita a vietare tassativamente qualsiasi iniziativa edificatoria, ma facoltizza anzi espressamente l'autorità esecutiva, conferendole nel contempo un notevole potere d'apprezzamento, ad autorizzare tutte quelle che appaiono in sintonia con gli obiettivi dell'auspicata pianificazione. Il giudizio dell'autorità chiamata a valutare un progetto concreto potrà inoltre essere debitamente adattato al grado di definizione del progetto di piano regolatore raggiunto a quel momento. Poco importa se, come obiettano i ricorrenti, una nuova costruzione od impianto deve già soddisfare le severe esigenze ecologiche prescritte dalla legislazione federale sulla protezione dell'ambiente. Com'è stato spiegato, le condizioni quadro dello sviluppo auspicato, che qui si tratta di tutelare, e che comprendono, segnatamente, eventuali specifiche caratteristiche di costruzioni od impianti, vengono stabilite a livello pianificatorio; per questo motivo appare lecito conferire transitoriamente al municipio, ovvero all'autorità preposta alla verifica di tali condizioni in sede di rilascio di una licenza edilizia, la facoltà di estendere le proprie valutazioni anche ai presumibili effetti inquinanti arrecati delle costruzioni od impianti che si tratta di approvare, allo scopo di potersi preventivamente pronunciare sulla loro compatibilità con l'indirizzo che si vuol imprimere, tramite la pianificazione in corso, alla zona di utilizzazione interessata, nella fattispecie quella industriale. In caso contrario entrerebbe in linea di conto solo un blocco temporaneo di tutte le costruzioni, ovviamente più pregiudizievole alla posizione dei proprietari. Trattandosi poi di un vincolo i cui effetti sono limitati - in principio - a cinque anni, e considerando l'importanza della pianificazione da salvaguardare, la bilancia pende alla fin fine a favore dell'interesse pubblico. Di conseguenza, la zona di pianificazione appare anche proporzionata al sacrificio imposto ai proprietari dei fondi toccati. 7.   La zona di pianificazione all'esame risulta quindi sorretta da una valida base legale, giustificata da un sufficiente interesse pubblico e rispettosa del principio di proporzionalità. I ricorsi devono essere conseguentemente respinti, salvo quello di __________ SA, che dev'esser dichiarato irricevibile. La tassa di giudizio e le spese devono essere poste a carico dei ricorrenti (art. 28 PAmm), i quali devono inoltre essere tenuti a versare al comune di __________ delle adeguate ripetibili (art. 31 PAmm). Per questi motivi, visti gli articoli di legge applicabili alla fattispecie; dichiara e pronuncia: 1.   Il ricorso è __________ SA è dichiarato irricevibile. Gli altri ricorsi sono respinti. 2.   La tassa di giudizio, di fr. 2'000.-, è posta a carico dei ricorrenti ____________________ SA, __________ SA, __________ SA, __________ SA, in ragione di ¼ ciascuno. Nella stessa proporzione i predetti ricorrenti sono tenuti a rifondere al comune di __________ identico importo per ripetibili. 3.   Intimazione a: terzi implicati PI 1 CO 1 patr. da: PR 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