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90.2004.4 vom 16. Juli 2007</w:t>
      </w:r>
    </w:p>
    <w:p>
      <w:r>
        <w:t>TI Tribunale d'appello, 2007-07-16, IT</w:t>
      </w:r>
    </w:p>
    <w:p>
      <w:r>
        <w:rPr>
          <w:b/>
        </w:rPr>
        <w:t xml:space="preserve">Quelle: </w:t>
      </w:r>
      <w:r>
        <w:t>https://mcp.opencaselaw.ch/entscheid/ti_gerichte_90.2004.4</w:t>
      </w:r>
    </w:p>
    <w:p>
      <w:r>
        <w:t>FR: TI_GERICHTE 90.2004.4 du 16 juillet 2007</w:t>
      </w:r>
    </w:p>
    <w:p>
      <w:r>
        <w:t>IT: TI_GERICHTE 90.2004.4 del 16 luglio 2007</w:t>
      </w:r>
    </w:p>
    <w:p>
      <w:pPr>
        <w:pStyle w:val="Heading2"/>
      </w:pPr>
      <w:r>
        <w:t>Regeste</w:t>
      </w:r>
    </w:p>
    <w:p>
      <w:r>
        <w:t>Perimetro di rispetto della Chiesa parrocchiale: bene immobile culturale d'interesse cantonale</w:t>
      </w:r>
    </w:p>
    <w:p>
      <w:pPr>
        <w:pStyle w:val="Heading2"/>
      </w:pPr>
      <w:r>
        <w:t>Erwägungen</w:t>
      </w:r>
    </w:p>
    <w:p>
      <w:r>
        <w:rPr>
          <w:b/>
        </w:rPr>
        <w:t>E. 2</w:t>
      </w:r>
    </w:p>
    <w:p>
      <w:r>
        <w:t>LBC). Per quanto concerne la proporzionalità in senso stretto, va precisato che l'imposizione dell'avversato vincolo non ha come conseguenza l'inedificabilità del fondo degli insorgenti, tutt'altro: l'art. 22 (I) cifra 2 NAPR dispone difatti che all'interno del perimetro di rispetto valgono le disposizioni normative di zona, ossia, per il fondo in parola, le norme della zona residenziale R2, in cui esso è inserito. Soltanto se gli interventi sono suscettibili di compromettere l'integrità del contesto che include i beni tutelati, l'Ufficio cantonale dei beni culturali potrà richiedere, è bene sottolineare, esclusivamente modifiche progettuali. In sostanza, il contestato vincolo, per quanto riguarda specificatamente il fondo dei ricorrenti, ha come finalità di garantire una buona qualità architettonica delle costruzioni e una confacente strutturazione degli spazi liberi, in funzione del contesto in cui detto terreno è incluso, senza per questo pregiudicare a priori le potenzialità edificatorie del fondo all'esame. L'utilizzazione del mapp. 375 non viene quindi irragionevolmente compromessa (cfr. RDAT I-2001 n. 49, con rinvii). 6.4. In conclusione, il perimetro di rispetto del complesso della Chiesa parrocchiale di San __________ è sorretto da un sufficiente interesse pubblico e non viola il principio della proporzionalità. Il ricorso deve pertanto essere respinto. 7.   La tassa di giudizio e le spese devono essere poste a carico dei ricorrenti in solido. Il comune, che aveva pure postulato l'accoglimento del ricorso, può essere esonerato dal pagamento delle spese processuali, non essendo comparso in causa per difendere interessi economici propri, bensì in veste di ente pianificante (art. 28 PAmm). Per questi motivi, visti gli articoli di legge applicabili alla fattispecie, dichiara e pronuncia: 1.   Il ricorso è respinto. 2.   I ricorrenti sono condannati al pagamento in solido delle tasse di giudizio e delle spese per complessivi fr. 1'500.- (millecinquecento).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al,.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