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90.2003.72 vom 13. August 2006</w:t>
      </w:r>
    </w:p>
    <w:p>
      <w:r>
        <w:t>TI Tribunale d'appello, 2006-08-13, IT</w:t>
      </w:r>
    </w:p>
    <w:p>
      <w:r>
        <w:rPr>
          <w:b/>
        </w:rPr>
        <w:t xml:space="preserve">Quelle: </w:t>
      </w:r>
      <w:r>
        <w:t>https://mcp.opencaselaw.ch/entscheid/ti_gerichte_90.2003.72</w:t>
      </w:r>
    </w:p>
    <w:p>
      <w:r>
        <w:t>FR: TI_GERICHTE 90.2003.72 du 13 août 2006</w:t>
      </w:r>
    </w:p>
    <w:p>
      <w:r>
        <w:t>IT: TI_GERICHTE 90.2003.72 del 13 agosto 2006</w:t>
      </w:r>
    </w:p>
    <w:p>
      <w:pPr>
        <w:pStyle w:val="Heading2"/>
      </w:pPr>
      <w:r>
        <w:t>Regeste</w:t>
      </w:r>
    </w:p>
    <w:p>
      <w:r>
        <w:t>Non approvazione dell'inserImento di due fondi nella zona completamento nucleo al fine di proteggere il nucleo; non attribuzione alla zona edificabile di fondi già edificati per ragioni legate alla contenibilità del piano regolatore e per assenza dei requisiti dell'art. 15 LPT</w:t>
      </w:r>
    </w:p>
    <w:p>
      <w:pPr>
        <w:pStyle w:val="Heading2"/>
      </w:pPr>
      <w:r>
        <w:t>Erwägungen</w:t>
      </w:r>
    </w:p>
    <w:p>
      <w:r>
        <w:rPr>
          <w:b/>
        </w:rPr>
        <w:t>E. 25</w:t>
      </w:r>
    </w:p>
    <w:p>
      <w:r>
        <w:t>a 29; Zen-Ruffinen/ Guy-Ecabert , op. cit., n. 314). 4.2. Dal profilo dell’art. 15 lett. a LPT, l’area edificabile include essenzialmente il territorio edificato ristretto, oltre eventualmente a singole particelle inedificate al suo interno, direttamente confinanti con la zona edificata, in genere già urbanizzate e di superficie relativamente ridotta (DTF 122 II 326 consid. 6a-aa; 121 II 417 consid. 5a; RDAT II-2002 n. 78 consid. 3.1). La zona residenziale del B si sviluppa per lo più a valle dell’omonima strada comunale. Il comparto presenta una forma allungata e risulta chiaramente delimitato, a monte (sud) da via B, a valle, dalla zona forestale e di protezione della natura Selvetta, mentre a nord – est vi è un’ampia zona agricola e di protezione del paesaggio. Il comprensorio è caratterizzato dalla presenza di varie case monofamiliari; in effetti, quasi tutte le particelle del comparto a valle di via B risultano edificate. Il terreno presenta una struttura morfologica prevalentemente pianeggiante fatta eccezione per un leggero declivio verso la sottostante zona boschiva. Ora, la porzione di terreno interessata dalla misura pianificatoria qui contestata è ubicata sul lato opposto della strada, poco prima della piazza di giro prevista dal nuovo piano regolatore. Il comparto che si sviluppa a monte di via B presenta caratteristiche sostanzialmente diverse da quello descritto più sopra: il territorio, ricoperto prevalentemente da bosco, sale infatti con una pendenza importante verso il confine col comune di T. I fondi n. 5, 6 e 8 RFD sono ubicati proprio ai piedi del pendio. Inoltre, fatta eccezione per i terreni precitati ed alcuni edifici sparsi ubicati più ad ovest, attribuiti alla zona agricola, il comprensorio a monte della strada comunale risulta scarsamente edificato. In sede di sopralluogo questo tribunale ha potuto constatare come il tracciato della strada comunale riproduca in modo chiaro sul territorio il limite tra due comparti che presentano caratteristiche morfologiche e funzionali diverse: a valle della stessa si sviluppa infatti una zona pianeggiante caratterizzata da un’edificazione estensiva, mentre a monte della stessa si apre invece una zona verde di grande importanza per il comune caratterizzata dalla presenza di boschi e prati, nei quali trovano posto alcuni edifici sparsi. Nonostante la prossimità dei fondi oggetto del presente procedimento con la zona residenziale del B che si sviluppa a valle della strada comunale, questo tribunale ritiene che, per i motivi sopra esposti, gli stessi debbano venire considerati parte integrante dell’area verde descritta più sopra e che pertanto non possano essere considerati come ampiamente edificati nel senso restrittivo della giurisprudenza. Certo, i fondi in questione risultano attualmente già edificati e sono urbanizzati. Tale circostanza non conferisce tuttavia un diritto all’attribuzione degli stessi alla zona edificabile. Né il fatto che i fondi siano stati dichiarati non soggetti alla legge federale sul diritto fondiario rurale può far mutare questa conclusione, ritenuto che altre sono le condizioni per un non assoggettamento a tale legge rispetto alle esigenze della LPT. Già per questi motivi, l’assegnazione degli stessi alla zona agricola – zona ad essi più affine – decretata dal Consiglio di Stato merita pertanto tutela, ritenuto che, ai sensi della LPT, alla zona agricola va riconosciuto un ruolo multifunzionale, in quanto persegue non solo obiettivi di politica agraria e fondiaria, ma anche obiettivi in ordine agli insediamenti, quale eccellente strumento di protezione dell’ambiente, del paesaggio e delle aree di svago. 4.3. Ma quand’anche i fondi potessero essere considerati idonei all’edificazione e in larga misura edificati ai sensi dell’art. 15 lett. a LPT, queste sole circostanze non sarebbero sufficienti per conferire ai rispettivi proprietari il diritto a farli attribuire alla zona edificabile (DTF 122 II 326 consid. 6a; 455 consid. 4a). Infatti, anche un terreno che adempie ambedue le esigenze poste dalla citata norma va infatti attribuito a tale zona soltanto se dopo una ponderazione globale degli interessi, che la legislazione sulla pianificazione del territorio tende a salvaguardare, sanciti in particolare dagli art. 1 e 3 LPT, non debba venir incluso nel territorio fuori della zona edificabile (DTF 124 II 391 consid. 4, 121 II 417 consid. 3d e rinvii). Quale interesse pubblico preponderante è considerato tra l’altro il fatto di impedire l’ingrandimento di una zona edilizia già sovradimensionata, ampiamente sufficiente per accogliere le prevedibili unità insediative. A questo proposito si rileva che la zona edificabile di RI 1 risulta abbondantemente sovradimensionata in relazione ad un ipotesi di sviluppo per i prossimi 10-15 anni. In effetti la contenibilità del piano supera di molto la tendenza di incremento della popolazione che ha caratterizzato gli ultimi 10 anni, con un aumento di sole 117 unità (rapporto di pianificazione, punto n. 4.1. pag. 7 e punto 6.2. pag. 14). Essa permetterebbe di conseguire quasi il raddoppio della situazione insediativa accertata nel 2000 (contenibilità del PR 2002 equivalente a ca. 5040 unità insediative (UI) contro una situazione reale di 2329 UI nel 2000). Come rilevato anche nella decisione del  n. 34 del Consiglio di Stato (cifra 3.4.1, lett. a, pag. 16 e segg.), con tali cifre per i prossimi 15 anni sarebbe possibile un trend evolutivo 7.5 volte maggiore di quello che ha caratterizzato lo sviluppo dell’ultimo decennio e un incremento della popolazione del 96% rispetto a quella attuale, ciò che appare altamente improbabile. Sovradimensionamento che è stato accertato anche per quanto riguarda i posti di lavoro e i posti turistici all’interno per perimetro edificabile del piano regolatore (cfr. decisione citata, pag. 19). Avuto riguardo all’aumento oggettivamente pronosticabile della popolazione, la contenibilità teorica del piano regolatore appare quindi eccessiva e pertanto lesiva dell’art. 15 lett. b LPT. Di conseguenza, l’inserimento delle particelle qui in oggetto nella zona edificabile non si giustifica nemmeno per questi motivi, non sussistendo nel RI 1 alcuna necessità di un ampliamento delle zone edificabili, dato che esse tengono conto abbondantemente delle presumibili necessità per lo sviluppo nei successivi quindici anni, mentre l’aggiunta di nuove zone edificabili a quelle già esistenti porterebbe a un loro ulteriore sovradimensionamento, incompatibile con quanto previsto dagli art. 1, 3 e 15 LPT. La mancata attribuzione del fondo litigioso alla zona edificabile risponde di conseguenza a un sufficiente interesse pubblico, prevalente su quello dei ricorrente a edificarlo (RDAT I-2001 n. 49 pag. 199 e segg.). Invero, le tre particelle in questione sono di modeste dimensioni rispetto alla superficie totale delle zone edificabili per cui si potrebbe credere che l’inserimento di queste particelle in quella zona non porterebbe a conseguenze significative da un profilo del dimensionamento del piano. Ora, secondo costante giurisprudenza, le dimensioni di un fondo non sono determinanti al riguardo, in quanto anche particelle di modeste proporzioni contribuiscono ad ampliare o a ridurre un comparto edificabile (DTF 116 Ia 236 e seg.). 4.4. Ammesso l’interesse pubblico, non si può nemmeno affermare che al contestata misura pianificatoria sia lesiva del principio della proporzionalità, necessaria e idonea a raggiungere il citato scopo d’interesse pubblico desiderato. L’inserimento in zona edificabile dei fondi in questione potrebbe creare le premesse per l’apertura di un vasto azzonamento a carattere edificabile a monte della strada, ciò che andrebbe ad intaccare il valore paesaggistico e naturalistico del comparto. A giusta ragione il Governo ha pertanto negato l’approvazione dell’assetto pianificatorio adottato dal consiglio comunale di RI 1 ed inserito gli stessi nella zona limitrofa più affine, ovvero la zona agricola. In concreto, la misura decretata dal Consiglio di Stato non si rivela neppure particolarmente incisiva, in quanto le possibilità edificatorie dei fondi in oggetto sono già state abbondantemente sfruttate. Gli edifici esistenti potranno inoltre essere oggetto di ulteriori interventi in conformità con l’art. 24 LPT. 4.5. La decisione impugnata risponde quindi anche su questo punto ad un interesse pubblico, e non viola né il principio della proporzionalità. Contrariamente all'opinione del comune ricorrente, il Consiglio di Stato, obbligando di fatto il comune a non assegnare i fondi n6 e 8 RFD alla zona edificabile, non è intervenuto in una questione di opportunità ma si è limitato ad affermare che i requisiti di legge per un'attribuzione a tale zona non erano riuniti. Ora, per costante giurisprudenza, l'istituto dell'autonomia comunale non consente di tutelare una soluzione contraria al diritto determinante (DTF 116 la 221 consid. 2c, 113 Ia 192 consid. 2d; RDAT II-1997 n. 23 pag. 66 consid. 2, 1989 n. 26 pag. 74 consid. 2c e relativi rinvii). Nel caso specifico, come s'è visto, la soluzione sollecitata dal comune è contraria all' art. 15 LPT : di conseguenza, e già per questa ragione, la violazione dell'autonomia comunale è richiamata invano. 5.   In conclusione, il gravame del comune ricorrente deve essere respinto. Il comune può essere esonerato dal pagamento delle spese processuali, non essendo intervenuto in causa per difendere propri interessi economici ma in veste di ente pianificante. Per questi motivi, visti gli articoli di legge applicabili alla fattispecie. dichiara e pronuncia: 1.   Nella misura in cui non è divenuto privo di oggetto, il ricorso del 10 giugno 2003 del RI 1 è respinto. 2.   Non si preleva tassa di giustizia. 3.   Intimazione a: terzi implicati CO 1 rappr. da: RA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