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90.2003.110 vom 13. April 2005</w:t>
      </w:r>
    </w:p>
    <w:p>
      <w:r>
        <w:t>TI Tribunale d'appello, 2005-04-13, IT</w:t>
      </w:r>
    </w:p>
    <w:p>
      <w:r>
        <w:rPr>
          <w:b/>
        </w:rPr>
        <w:t xml:space="preserve">Quelle: </w:t>
      </w:r>
      <w:r>
        <w:t>https://mcp.opencaselaw.ch/entscheid/ti_gerichte_90.2003.110</w:t>
      </w:r>
    </w:p>
    <w:p>
      <w:r>
        <w:t>FR: TI_GERICHTE 90.2003.110 du 13 avril 2005</w:t>
      </w:r>
    </w:p>
    <w:p>
      <w:r>
        <w:t>IT: TI_GERICHTE 90.2003.110 del 13 aprile 2005</w:t>
      </w:r>
    </w:p>
    <w:p>
      <w:pPr>
        <w:pStyle w:val="Heading2"/>
      </w:pPr>
      <w:r>
        <w:t>Regeste</w:t>
      </w:r>
    </w:p>
    <w:p>
      <w:r>
        <w:t>ricorso contro la pubblicazione da parte del municipio di una modifica d'ufficio del piano regolatore disposta d'ufficio dal Consiglio di Stato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 ricorrenti sono condannati al pagamento in solido delle tasse di giudizio e delle spese per complessivi fr. 600.- (seicento). 3.   Intimazione a: terzi implicati PI 1 rappr. da: RA 1 CO 1 rappr. da: RA 2 Per il Tribunale della pianificazione del territorio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