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90.2002.91 vom 28. Juli 2003</w:t>
      </w:r>
    </w:p>
    <w:p>
      <w:r>
        <w:t>TI Tribunale d'appello, 2003-07-28, IT</w:t>
      </w:r>
    </w:p>
    <w:p>
      <w:r>
        <w:rPr>
          <w:b/>
        </w:rPr>
        <w:t xml:space="preserve">Quelle: </w:t>
      </w:r>
      <w:r>
        <w:t>https://mcp.opencaselaw.ch/entscheid/ti_gerichte_90.2002.91</w:t>
      </w:r>
    </w:p>
    <w:p>
      <w:r>
        <w:t>FR: TI_GERICHTE 90.2002.91 du 28 juillet 2003</w:t>
      </w:r>
    </w:p>
    <w:p>
      <w:r>
        <w:t>IT: TI_GERICHTE 90.2002.91 del 28 luglio 2003</w:t>
      </w:r>
    </w:p>
    <w:p>
      <w:pPr>
        <w:pStyle w:val="Heading2"/>
      </w:pPr>
      <w:r>
        <w:t>Regeste</w:t>
      </w:r>
    </w:p>
    <w:p>
      <w:r>
        <w:t>Sentenza o decisione senza scheda</w:t>
      </w:r>
    </w:p>
    <w:p>
      <w:pPr>
        <w:pStyle w:val="Heading2"/>
      </w:pPr>
      <w:r>
        <w:t>Erwägungen</w:t>
      </w:r>
    </w:p>
    <w:p>
      <w:r>
        <w:rPr>
          <w:b/>
        </w:rPr>
        <w:t>E. 4</w:t>
      </w:r>
    </w:p>
    <w:p>
      <w:r>
        <w:t>del dispositivo della decisione impugnata) che i proprietari di rustici la cui valutazione era stata modificata d'ufficio, tra i quali figurava il qui insorgente, avevano la facoltà di ricorso al Tribunale della pianificazione del territorio entro 30 giorni dalla data d'intimazione della risoluzione di approvazione della variante del piano regolatore; che nella fattispecie il ricorrente ha ricevuto la risoluzione 20 febbraio 2002, munita dell'indicazione dei mezzi e del termine di ricorso, il 22 febbraio seguente (cfr. attestazione postale in atti); che il termine per inoltrare l'impugnativa è pertanto venuto a scadenza il 24 marzo 2002; che il gravame è invece stato presentato al Tribunale soltanto il 6 giugno 2002 (cfr. timbro postale), ossia tardivamente; che il ricorrente non può beneficiare del termine di ricorso indicato nella pubblicazione delle decisione del Governo effettuata dal municipio di __________ nel periodo 22 aprile/21 maggio 2002; che il termine di ricorso che decorre a seguito di tale pubblicazione ritorna applicabile solo per coloro che prendono conoscenza della risoluzione governativa attraverso la pubblicazione stessa: sistema alternativo di notifica che può essere impiegato, eccezionalmente, quando tutti i destinatari della decisione non possono essere identificati senza oneri eccessivi (cfr. a livello federale l'art. 36 PA; Merkli/Aeschlimann/Herzog, Kommentar zum Gesetz über die Verwaltungsrechtspflege im Kanton Bern, Berna 1997, ad art. 44 n. 1); che la successiva pubblicazione della decisione del Consiglio di Stato, allorquando per l'insorgente - che aveva ricevuto personalmente ed in precedenza tale decisione - era già scaduto il termine ricorsuale, non ha avuto quale effetto il decorrere di un nuovo termine per inoltrare l'impugnativa; che pertanto il gravame dev'essere dichiarato irricevibile in ordine siccome tardivo; che visto l'esito dell'impugnativa si giustifica il prelievo di una tassa di giustizia ridotta (art. 28 PAmm). Per questi motivi, visti gli articoli di legge applicabili alla fattispecie, dichiara e pronuncia 1.   Il ricorso è irricevibile. 2. La tassa di giustizia di fr. 300.-- è posta a carico del ricorrente. 3.   Intimazione a: - __________ __________ , Via __________ __________, ____________________; - Municipio di __________, ____________________ ; - Divisione della pianificazione territoriale , ____ _.________ __, ____ ____________; - Consiglio di Stato , Residenza governativa, ____ ____________.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