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90.2002.61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https://mcp.opencaselaw.ch/entscheid/ti_gerichte_90.2002.61</w:t>
      </w:r>
    </w:p>
    <w:p>
      <w:r>
        <w:t>FR: TI_GERICHTE 90.2002.61 du 2 septembre 2003</w:t>
      </w:r>
    </w:p>
    <w:p>
      <w:r>
        <w:t>IT: TI_GERICHTE 90.2002.61 del 2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 riporta a titolo provvisorio (stato degli studi fino al luglio 1999) tre zone soggette principalmente al pericolo di caduta sassi e blocchi. Il comune coordina con l'Istituto cantonale di scienze della terra le misure di protezione necessarie.</w:t>
      </w:r>
    </w:p>
    <w:p>
      <w:r>
        <w:rPr>
          <w:b/>
        </w:rPr>
        <w:t>E. 2</w:t>
      </w:r>
    </w:p>
    <w:p>
      <w:r>
        <w:t>La tassa di giudizio, di fr. 2'000.--, è posta a carico del ricorrente. 3.   Intimazione a: - __________ __________, __________ __________, ____________________ rappr. da: avv. __________ __________ __________, __________ __________. __________ __________, ____________________; - Municipio di __________ , ____________________ ; - Divisione della pianificazione territoriale , __________ __________. __________ __________, ____________________; - Consiglio di Stato , Residenza governativa, ____ __________. Tribunale della pianificazione del territorio Il presidente 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