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90.2002.109 vom 19. August 2002</w:t>
      </w:r>
    </w:p>
    <w:p>
      <w:r>
        <w:t>TI Tribunale d'appello, 2002-08-19, IT</w:t>
      </w:r>
    </w:p>
    <w:p>
      <w:r>
        <w:rPr>
          <w:b/>
        </w:rPr>
        <w:t xml:space="preserve">Quelle: </w:t>
      </w:r>
      <w:r>
        <w:t>https://mcp.opencaselaw.ch/entscheid/ti_gerichte_90.2002.109</w:t>
      </w:r>
    </w:p>
    <w:p>
      <w:r>
        <w:t>FR: TI_GERICHTE 90.2002.109 du 19 août 2002</w:t>
      </w:r>
    </w:p>
    <w:p>
      <w:r>
        <w:t>IT: TI_GERICHTE 90.2002.109 del 19 agosto 2002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35</w:t>
      </w:r>
    </w:p>
    <w:p>
      <w:r>
        <w:t>LALPT (art. 15 cpv. 2 prima frase RALPT), che fissa un termine di 15 giorni dalla scadenza della pubblicazione. In concreto, la pubblicazione della modifica di poco conto interessante il piano viario del comune di __________ è stata pubblicata, come già anticipato in narrativa, dal 15 gennaio al 13 febbraio 2001. Il termine di 15 giorni per ricorrere contro la stessa è pertanto venuto a scadenza il giorno 28 febbraio 2001. A giusta ragione il Consiglio di Stato ha quindi dichiarato irricevibile, in quanto tardivo, il gravame inoltratogli 9 mesi dopo la scadenza di tale termine con cui __________ __________ contestava la modifica del piano viario di __________. La domanda di accertamento della nullità della variante di poco conto in esame non permette di mutare questa conclusione. Dal momento difatti che a questo Tribunale spetta soltanto la competenza di giudicare i ricorsi diretti contro l'approvazione degli strumenti pianificatori - ad esclusione pertanto delle decisioni concernenti la loro applicazione - tale domanda avrebbe dovuto essere formulata nel rispetto dei termini di ricorso. 2.2. Il ricorso deve, dunque, essere respinto. 3.   La tassa di giudizio dev'essere posta a carico del ricorrente (art. 28 PAmm). Per questi motivi, visti gli articoli di legge applicabili alla fattispecie, dichiara e pronuncia 1.   Il ricorso è respinto. 2.   La tassa di giudizio, di fr. 500.--, è posta a carico del ricorrente. 3.   Intimazione:                  - __________ __________ , Via __________ __________, ____________________ - Municipio di __________ , Via __________ __________, ____________________ - Municipio di __________ , Via __________ __________, ____________________ - Consiglio di Stato , __________ Governativa, __________ __________ - Divisione della pianificazione territoriale , __________ __________. __________ __________, ____ ____________ Tribunale della pianificazione del territorio Il presidente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