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90.2001.57 vom 6. Mai 2002</w:t>
      </w:r>
    </w:p>
    <w:p>
      <w:r>
        <w:t>TI Tribunale d'appello, 2002-05-06, IT</w:t>
      </w:r>
    </w:p>
    <w:p>
      <w:r>
        <w:rPr>
          <w:b/>
        </w:rPr>
        <w:t xml:space="preserve">Quelle: </w:t>
      </w:r>
      <w:r>
        <w:t>https://mcp.opencaselaw.ch/entscheid/ti_gerichte_90.2001.57</w:t>
      </w:r>
    </w:p>
    <w:p>
      <w:r>
        <w:t>FR: TI_GERICHTE 90.2001.57 du 6 mai 2002</w:t>
      </w:r>
    </w:p>
    <w:p>
      <w:r>
        <w:t>IT: TI_GERICHTE 90.2001.57 del 6 maggio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 signor _________, già ricorrente per gli stessi motivi, è senz’altro data a norma dell’art. 38 cpv. 4 lett. b) LALPT. Occorre tuttavia specificare che il ricorrente sia in prima istanza, sia davanti a questo Tribunale, e in via principale, ha formulato una domanda tendente alla conferma della previsione d'espropriazione formale per un importo di fr. 750'000.- a carico del comune relativa ad una porzione del suo fondo. Ritenuto che questioni di natura squisitamente espropriative, come quella sollevata dal ricorrente nella fattispecie, esulano dalla procedura in corso, la domanda in quanto tale risulta quindi irricevibile. In particolare, si osserva che dal punto di vista pianificatorio il terreno dell'insorgente è interessato dal PPNV unicamente per l'attribuzione alla zona "parchi o giardini o coltivi" (cfr. tavola n. 4 delle rappresentazioni grafiche), in pratica inedificabile, disciplinata dall'art. 36 dell'Abaco normativo. Se questo azzonamento dia o meno luogo a espropriazione formale o materiale, sarà compito dell'Autorità competente pronunciarsi, ritenuto che presso il Tribunale di espropriazione, per altro, risulta essere già pendente una domanda in tal senso inoltrata dal ricorrente. Presentato nei termini di legge, e quindi tempestivo, il ricorso è per il resto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Unica questione che rimane in contestazione è l'attribuzione del mappale n. _________ alla zona inedificabile "parchi o giardini o coltivi", per la quale il ricorrente invoca una violazione della garanzia costituzionale della proprietà, del principio della parità di trattamento e della buona fede, chiedendone l'annullamento. A tal riguardo occorre precisare che il PR84 attribuiva soltanto la parte mediana del fondo in oggetto alla zona edificabile (zona residenziale particolare RP), essendo il restante già inedificabile perché incluso nella zona senza destinazione specifica, la parte alta, o perché gravato da una linea di arretramento di 20 ml dalla chiesa nella parte bassa.</w:t>
      </w:r>
    </w:p>
    <w:p>
      <w:r>
        <w:rPr>
          <w:b/>
        </w:rPr>
        <w:t>E. 3.1</w:t>
      </w:r>
    </w:p>
    <w:p>
      <w:r>
        <w:t>Prima di entrare nel merito, si osserva che 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Premesso che nel caso concreto non emergono motivi stringenti per non ritenere idoneo all'edificazione il terreno in questione, nonostante esso sia in pendenza, occorre quindi esaminare in primo luogo se esso è inserito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w:t>
      </w:r>
    </w:p>
    <w:p>
      <w:r>
        <w:rPr>
          <w:b/>
        </w:rPr>
        <w:t>E. 3.3</w:t>
      </w:r>
    </w:p>
    <w:p>
      <w:r>
        <w:t>Nella fattispecie, il nucleo del villaggio di _________ _________ risulta costituito da una sostanza edilizia densa e compatta solcata da percorsi organici. Esso può vantare ancora un'immagine unitaria e definita, data dalla visione tuttora leggibile del suo perimetro naturale, circoscritto da elementi quali il riale _________ a nord, il corso d'acqua _________ ad est e dal muro continuo ad ovest, oltre il quale si estende la fascia pedemontana agricolo-boschiva del Monte _________ (cfr. relazione PPNV, pagg. 7 ss). La Chiesa rinascimentale di _________, oggetto architettonico di pregio in quanto tale, rappresenta pure un elemento cardine rispetto al tessuto edilizio, sia per la sua funzione pubblica, sia per quella spaziale, essendo curiosamente ubicata sul margine del nucleo, in posizione sopraelevata e dominante, a presidio dell'abitato, proprio sull'angolo di congiunzione dell'asse nord, corrispondente al riale di _________, con quello ovest, definito, come si illustrava poc'anzi, dal muro continuo di cinta. Il fondo n. _________ del ricorrente, invece, un vasto appezzamento di ca. 7'500 mq a forma rettangolare irregolare, praticamente inedificato, è posto in pendenza dietro la Chiesa di _________, incorniciandola sul lato nord-ovest. Esso risulta quindi a ridosso del nucleo del paese, tuttavia all'esterno dello stesso.</w:t>
      </w:r>
    </w:p>
    <w:p>
      <w:r>
        <w:rPr>
          <w:b/>
        </w:rPr>
        <w:t>E. 3.4</w:t>
      </w:r>
    </w:p>
    <w:p>
      <w:r>
        <w:t>In base a queste premesse e tenuto in debito conto che la pianificazione esige, per quanto possibile, una delimitazione di comparti omogenei, facilmente riconoscibili mediante limiti naturali, artificiali o di pianificazione, il fondo dell'insorgente risulta dal profilo pianificatorio far parte inequivocabilmente del comparto inedificato della fascia pedemontana che lambisce e nel contempo definisce spazialmente il nucleo di _________ _________ ad ovest, sulle pendici del Monte _________, e che il PPNV attribuisce con fini protettivi alla zona "parchi o giardini o coltivi". Paesaggisticamente, il fondo in esame si profila dunque proprio come limite esterno di quella zona edificabile nella quale il ricorrente vorrebbe veder inserita la sua proprietà. Viceversa, fosse concessa la facoltà di costruire, si causerebbe la rottura di quel fronte edificato omogeneo e compatto, tuttora identificabile e riconoscibile, nonché di quell'equilibrio relazionale di qualità venutosi a creare nel trascorrere del tempo con la Chiesa di _________, che caratterizza in modo peculiare il nucleo e che il PPNV si prefigge per l'appunto di preservare e recuperare, essendo oltretutto oggetto dell'Inventario degli insediamenti svizzeri da proteggere (ISOS). Difatti, va condivisa la motivazione del il Consiglio di Stato, secondo il quale " l'attuale sfondo del monumento, garantito dalla gestione "a verde" della particella n. _________ permette ancora di leggere il rapporto originale di questo edificio con il resto dell'insediamento; per contro una sua edificazione lo altererebbe, compromettendolo irrimediabilmente e definitivamente " (cfr. risoluzione 28 agosto 2001, n. __________), apparendo oltretutto come un'estensione ingiustificata della sostanza edilizia nella fascia soprastante a carattere forestal-agricolo. In conclusione va riconosciuto che nella fattispecie il requisito della preesistente ampia edificazione fa sicuramente difetto e pertanto l'azzonamento in discussione va confermato. A titolo abbondanziale si rileva che con la decisione n. __________del 28 agosto 2001 il Consiglio di Stato ha approvato da un lato il PPNV e dall'altro alcune varianti di PR necessarie per l'integrazione del piano particolareggiato. In particolare, una di queste varianti di PR prevede una linea di arretramento delle costruzioni dalla Chiesa di _________ tracciata sul terreno del ricorrente, che in quanto tale, a prescindere dall'attribuzione dello stesso operata dal PPNV, lo rende in pratica inedificabile proprio nella porzione mediana del terreno che il PR attribuiva in precedenza alla zona residenziale particolare RP. Questo vincolo, non essendo stato contestato dal ricorrente né in prima istanza, né davanti al TPT, è ormai cresciuto in giudicato.</w:t>
      </w:r>
    </w:p>
    <w:p>
      <w:r>
        <w:rPr>
          <w:b/>
        </w:rPr>
        <w:t>E. 3.5</w:t>
      </w:r>
    </w:p>
    <w:p>
      <w:r>
        <w:t>Quanto all'urbanizzazione del comparto, essa non è notoriamente determinante, come ripetutamente enunciato dalla giurisprudenza. Si veda per tutti la DTF 21.3.1994 in re S. c/ comune di __________ (1P.__________ /1993),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 soltanto di singoli edifici" . Si osserva che neppure i presupposti dell'art. 15 lett. b) LPT sono dati, ritenuto che le zone edificabili del PR85 sono a tutt'oggi sovradimensionate. Difatti, secondo i dati forniti dal comune (cfr. osservazioni del comune di _________ _________ 26 ottobre 2001, pag. 15) le previsioni dell'epoca (1980) si sono rivelate alla prova dei fatti del tutto irrealistiche: la contenibilità teorica del PR85 consente 5'240 unità insediative (UI) a fronte delle 3'288 UI effettive nel comune nel 1980, con quindi una riserva disponibile di 1'952 UI (59 %). Al I° gennaio 2000, quindi ben oltre il lasso tempo di 15 anni di cui all'art. 15 LPT, vi è stato un incremento reale di 507 UI, per un totale di 3'795 UI, con quindi ancora una riserva disponibile di 1'445 UI (38 %), margine più che adeguato, ritenuto oltretutto il modesto tasso di crescita effettivo, che giustifica il dezonamento parziale operato dal comune nella fattispecie.</w:t>
      </w:r>
    </w:p>
    <w:p>
      <w:r>
        <w:rPr>
          <w:b/>
        </w:rPr>
        <w:t>E. 4</w:t>
      </w:r>
    </w:p>
    <w:p>
      <w:r>
        <w:t>.   Priva di fondamento è infine l’invocata disparità di trattamento, per il fatto che, come genericamente viene sostenuto, rispetto ad altri fondi in situazione analoga, quello del ricorrente sarebbe l’unico attribuito ad una zona inedificabile con destinazione "parchi o giardini o coltivi".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d'includere il fondo dell'insorgente nella zona "parchi o giardini o coltivi" sia stata determinata da criteri discriminatori, manifestamente insostenibili o, peggio ancora, arbitrari. Le motivazioni addotte a suffragio di questa scelta, riassunte nei considerandi precedenti, sono valide e convincenti, e meritano piena riconferma in questa sede. Si osserva al proposito che, contrariamente a quanto sostiene il ricorrente, molti fondi un po' dovunque, anche di notevole superficie, sono stati attribuiti alla zona "parchi o giardini o coltivi", come con tutta evidenza risulta dalla tavola n. 4 delle rappresentazioni grafiche del PPNV.</w:t>
      </w:r>
    </w:p>
    <w:p>
      <w:r>
        <w:rPr>
          <w:b/>
        </w:rPr>
        <w:t>E. 5</w:t>
      </w:r>
    </w:p>
    <w:p>
      <w:r>
        <w:t>Stando così le cose, nella misura in cui è ricevibile, il ricorso è respinto e la decisione del Consiglio di Stato è confermata. Tassa di giudizio e spese seguono la soccombenza. Per questi motivi, visti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