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90.2001.50 vom 5. April 2002</w:t>
      </w:r>
    </w:p>
    <w:p>
      <w:r>
        <w:t>TI Tribunale d'appello, 2002-04-05, IT</w:t>
      </w:r>
    </w:p>
    <w:p>
      <w:r>
        <w:rPr>
          <w:b/>
        </w:rPr>
        <w:t xml:space="preserve">Quelle: </w:t>
      </w:r>
      <w:r>
        <w:t>https://mcp.opencaselaw.ch/entscheid/ti_gerichte_90.2001.50</w:t>
      </w:r>
    </w:p>
    <w:p>
      <w:r>
        <w:t>FR: TI_GERICHTE 90.2001.50 du 5 avril 2002</w:t>
      </w:r>
    </w:p>
    <w:p>
      <w:r>
        <w:t>IT: TI_GERICHTE 90.2001.50 del 5 aprile 2002</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(art. 38 cpv. 4 lett. a) LALPT), i già ricorrenti, per gli stessi motivi (art. 38 cpv. 4 lett. b) LALPT), e ogni altra persona o ente che dimostri un interesse degno di protezione a dipendenza delle modifiche decise dal Consiglio di Stato (art. 38 cpv. 4 lett. c) LALPT). In concreto la legittimazione attiva della ricorrente, proprietaria di uno fra i terreni toccati dalla risoluzione governativa, è senz’altro data a norma dell’art. 38 cpv. 4 lett. c) LALPT.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3.1</w:t>
      </w:r>
    </w:p>
    <w:p>
      <w:r>
        <w:t>A norma dell'art. 15 LPT la zona edificabile comprende i terreni idonei all'edificazione, già edificati in larga misura (art. 15 lett. a) LPT) o prevedibilmente necessari all'edificazione e urbanizzati entro quindici anni (art. 15 lett. b) LPT).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esempio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consid. 4bc/bd; 114 Ia 250, consid. 5b; 118 Ib 344,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3.2</w:t>
      </w:r>
    </w:p>
    <w:p>
      <w:r>
        <w:t>Premesso che il fondo della ricorrente, come pure quelli circostanti inseriti nella discussa nuova zona edificabile, risultano in parte edificati, non si pone perciò l'esame circa la loro idoneità all'edificazione. Occorre quindi esaminare in primo luogo se essi sono inseriti in un comparto che adempie il presupposto della lett. a) dell'art. 15 LPT, vale a dire quello relativo alla preesistente ampia edificazione. Determinante, a questo fine, non è che siano ampiamente edificate le singole particelle, ma che lo sia l'intero comprensorio. Le costruzioni devono creare assieme un gruppo di case, che presenti il carattere di un insediamento unitario. Deve risultarne un insieme sufficientemente concluso, dal carattere insediativo abbastanza marcato ( Siedlungscharakter ), con un minimo di coerenza formale e funzionale, che ne faccia un nucleo abitativo vitale e non una casuale disseminazione di costruzioni più o meno ravvicinate. Facenti parte dell’insediamento, possono pure essere considerati, a seconda delle circostanze, gli eventuali vuoti che presenta il suo tessuto ( Baulücken ), o quelle adiacenze, non costruite, che però attengono all’insieme e non devono per prevalenti motivi avere altra attribuzione (DTF 113 Ia 444, consid. 4d/da).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 Streubauweise ) è condannata per lo spreco di terreno e l’irrazionalità dell’assetto territoriale che ne consegue; la creazione di piccole zone lontano dall’abitato può essere considerata non solo indesiderata ma addirittura contraria al diritto federale. (DTF 116 Ia 336, consid. 4; 114 Ia 255, consid. 3c). In casi estremi, la giurisprudenza ha tuttavia riconosciuto il carattere di zona edificabile marginale, secondaria, a certi gruppi di case, posti al bordo della zona edificabile, che ne condividono in larga misura la funzione insediativa, o perché presentano più o meno la stessa sua densità edilizia, o perché le sono collegati da strade o altri mezzi di comunicazione, o per altri analoghi motivi (DTF 113 Ia 444, consid. d/da).</w:t>
      </w:r>
    </w:p>
    <w:p>
      <w:r>
        <w:rPr>
          <w:b/>
        </w:rPr>
        <w:t>E. 3.3</w:t>
      </w:r>
    </w:p>
    <w:p>
      <w:r>
        <w:t>Nella fattispecie, la nuova zona AC, ov'è ubicato il fondo della ricorrente, risulta in posizione molto discosta rispetto alle aree destinate all'artigianato e ai commerci e, più in generale, alle aree edificabili di _________, che si espandono a sud e a nord del suo nucleo tradizionale (il vecchio __________), ma che poi sono delimitate meridionalmente dal tracciato della ferrovia prima, da quello dell'autostrada poi. Difatti, per raggiungerla, occorre imboccare la strada cantonale in direzione di _________, uscire dall'abitato di _________, superare il viadotto ferroviario e il cavalcavia autostradale, oltre i quali si apre poi un vasto comprensorio agricolo in pratica inedificato, per l'appunto la località _________, nel cui angolo estremo nord-est è stato poi ritagliato il controverso comparto artigianato e commerci.</w:t>
      </w:r>
    </w:p>
    <w:p>
      <w:r>
        <w:rPr>
          <w:b/>
        </w:rPr>
        <w:t>E. 3.4</w:t>
      </w:r>
    </w:p>
    <w:p>
      <w:r>
        <w:t>Questa zona ha una superficie di ca. 30'000 mq ed è delimitata su tre lati da importanti assi di comunicazione, quali l'autostrada ad est, il tracciato ferroviario _________-_________ a nord-ovest e la strada cantonale per _________, Via _________, a sud. L'ultimo lato di questo quadrilatero irregolare confina ad ovest con la vasta zona agricola del comune, che si salda e si integra con quella del comune di _________. Il comparto è attraversato longitudinalmente da Via _________, dando luogo a due aree che grossolanamente hanno le medesime dimensioni: quella compresa tra l'autostrada e la stessa via _________ è insediata da alcune costruzioni sparse e per questo notevolmente spaziate fra di loro: la pensione con ristorante gestita dalla ricorrente e tre abitazioni; invece sul settore che si sviluppa sull'altro lato di via _________ fino alla zona agricola insistono una casa d'abitazione, situata sul margine estremo a ridosso del tracciato ferroviario _________-_________, e, sul versante opposto, un grosso capannone adibito a Garage di rappresentanza con relativa officina meccanica. In base a queste premesse e tenuto in debito conto che la pianificazione esige, per quanto possibile, una delimitazione di comparti omogenei, facilmente riconoscibili mediante limiti naturali, artificiali o di pianificazione, il comparto in oggetto risulta dal profilo pianificatorio far parte inequivocabilmente dell'ampio comparto agricolo di _________: in questo caso l'asse ferroviario, da un lato, e quello autostradale, dall'altro, contrariamente a quanto sostiene la ricorrente, definiscono per l'appunto il limite riconoscibile della zona edificabile del comune, che, se travalicato come nella fattispecie, viene a dare luogo inevitabilmente ad una microzona edificata a sé stante, ritagliata nel comparto omogeneo della _________ in dispregio alla chiara cesura formata dalla vie di comunicazione succitate. Paesaggisticamente, il comparto in esame si profila dunque come nettamente staccato dalla zona edificabile (artigianato e commerci), nella quale la ricorrente vorrebbe veder inserita la sua proprietà, anche per effetto degli avvallamenti di una certa qual rilevanza approntati all'epoca per il tracciato ferroviario. Pertanto, a fronte di queste considerazioni, nessuna portata può avere nemmeno via _________ quale elemento pianificatorio valido di riferimento per ridefinire l'estensione della zona edificabile oltre il limite del tracciato autostradale, come invece parrebbe sostenere la ricorrente: anzi, semmai quest'asse stradale fosse preso in considerazione, non farebbe che accentuare ancor più la qualità di piccola zona edificabile ai margini della zona agricola, che, in quanto tale, non sarebbe comunque ammissibile. Va aggiunto che, con ogni evidenza, gli edifici che vi insistono, ritenuta la loro attuale destinazione d'uso a larga predominanza abitativa, costituiscono un elemento di conflitto con un'istituenda zona artigianato e commerci, oltre che a rappresentare un episodio estraneo, una presenza spuria, impotente nella sua insignificanza a creare una realtà pianificatoria propria. Come ricordato al considerando 3.2, l’istituzione di zone edificabili in simili contesti è non solo inopportuna ma addirittura contraria al diritto federale, fondato sulla netta separazione fra zone edificabile e altre utilizzazioni (agricola, protezione natura, ecc.).</w:t>
      </w:r>
    </w:p>
    <w:p>
      <w:r>
        <w:rPr>
          <w:b/>
        </w:rPr>
        <w:t>E. 3.5</w:t>
      </w:r>
    </w:p>
    <w:p>
      <w:r>
        <w:t>Visto quanto precede, si deve ritenere che il Consiglio di Stato, nella propria analisi territoriale del comparto in oggetto, ha preso correttamente in considerazione quegli elementi pianificatori, per la fattispecie determinanti, che si rilevano principalmente dal PR di _________, ma anche da quelli dei comuni viciniori, come _________ e __________; in particolare la delimitazione data dalle vie di comunicazione, dal comparto agricolo e dalla zona attrezzature pubbliche. In conclusione va riconosciuto che il requisito della preesistente ampia edificazione fa sicuramente difetto; giustamente il Consiglio di Stato ha negato l'approvazione della nuova zona edificabile in località _________, che comprende anche il fondo dell'insorgente, comportante l'impianto di una piccola zona discosta dalle aree produttive del comune, contraria alla LPT. Quanto all'urbanizzazione del comparto, essa non è notoriamente determinante, come ripetutamente enunciato dalla giurisprudenza. Si veda per tutti la DTF 21.3.1994 in re S. c/ comune di Vaglio (1P.__________ /1993), ai cui sensi possono essere esclusi dalla zona edificabile non solo " terreni situati nelle immediate vicinanze di fondi edificati o ai margini del territorio urbanizzato e persino completamente urbanizzati, ma addirittura terreni che si trovano in aree già edificate, in particolare quando si tratta, come in concreto (e così nella fattispecie presente; n.d.r.), soltanto di singoli edifici" (in quel caso due).</w:t>
      </w:r>
    </w:p>
    <w:p>
      <w:r>
        <w:rPr>
          <w:b/>
        </w:rPr>
        <w:t>E. 4</w:t>
      </w:r>
    </w:p>
    <w:p>
      <w:r>
        <w:t>Priva di fondamento è infine l’invocata disparità di trattamento, per il fatto che, rispetto ai fondi al di là del tracciato autostradale e ferroviario, inseriti in zona AC, quello in esame sarebbe l’unico escluso dalla zona edificabile.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decisione del Governo di non approvare la scelta delle autorità comunali sia stata determinata da criteri discriminatori, manifestamente insostenibili o, peggio ancora, arbitrari. Le motivazioni addotte nella decisione impugnata, riassunte nel dettaglio nei considerandi precedenti, sono valide e convincenti, meritando quindi piena conferma in questa sede. D'altro canto occorre notare che escluso dalla zona edificabile risulta non soltanto il terreno della ricorrente, ma anche tutti i terreni limitrofi e circostanti compresi nel comparto non approvato dalla risoluzione governativa.</w:t>
      </w:r>
    </w:p>
    <w:p>
      <w:r>
        <w:rPr>
          <w:b/>
        </w:rPr>
        <w:t>E. 5</w:t>
      </w:r>
    </w:p>
    <w:p>
      <w:r>
        <w:t>Stando così le cose, il ricorso è respinto e la decisione del Consiglio di Stato è confermata. Tassa di giudizio e spese seguono la soccombenza: tuttavia, poiché il comune è comparso in causa per motivi attinenti alla sua funzione e non per tutelare i suoi particolari interessi, si prescinde nel suo caso dal loro prelievo. Non si assegnano ripetibili.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