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90.2000.8 vom 11. April 2000</w:t>
      </w:r>
    </w:p>
    <w:p>
      <w:r>
        <w:t>TI Tribunale d'appello, 2000-04-11, IT</w:t>
      </w:r>
    </w:p>
    <w:p>
      <w:r>
        <w:rPr>
          <w:b/>
        </w:rPr>
        <w:t xml:space="preserve">Quelle: </w:t>
      </w:r>
      <w:r>
        <w:t>https://mcp.opencaselaw.ch/entscheid/ti_gerichte_90.2000.8</w:t>
      </w:r>
    </w:p>
    <w:p>
      <w:r>
        <w:t>FR: TI_GERICHTE 90.2000.8 du 11 avril 2000</w:t>
      </w:r>
    </w:p>
    <w:p>
      <w:r>
        <w:t>IT: TI_GERICHTE 90.2000.8 del 11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11.04.2000 90.2000.8 Tessin Tribunale della pianificazione 11.04.2000 90.2000.8 Ticino Tribunale della pianificazione 11.04.2000 90.2000.8</w:t>
      </w:r>
    </w:p>
    <w:p>
      <w:r>
        <w:t>Sentenza o decisione senza scheda</w:t>
      </w:r>
    </w:p>
    <w:p>
      <w:r>
        <w:t>Incarto n. 90.2000.00008 Lugano 11 aprile 2000 In nome della Repubblica e Cantone del Ticino Il Tribunale della pianificazione del territorio composto dai giudici: Efrem Beretta, presidente, Giovanna Roggero-Will, Michele Rusca vicecancelliere Tito Ponti statuendo sul ricorso del 31 gennaio 2000 di __________ __________ -__________, __________ , rappr. da: St.leg. __________ __________ __________, __________ __________ __________ __________, contro la risoluzione 14 dicembre 1999 del Consiglio di Stato relativa all'approvazione dell'Inventario degli edifici fuori zone edificabile (IEFZE) del comune di __________ rilevato che nel ricorso di seconda istanza la ricorrente chiede la possibilità di utilizzazione primaria dell'edificio n. __________ IEFZE, mappale n. __________, contrariamente alla decisione impugnata del Consiglio di Stato che ne vietava simile utilizzazione ; preso atto che nelle osservazioni al ricorso la Divisione della pianificazione territoriale, in rappresentanza del CdS, ha riconsiderato la proposta del comune di __________ di concedere la possibilità di utilizzazione a titolo primario degli edifici ubicati in località "__________", compreso quello della qui ricorrente; considerato che il tribunale procede, d’ufficio o su richiesta di una parte, allo stralcio dei ricorsi che nel corso del procedimento diventano privi d'oggetto, rispettivamente d'interesse giuridico; che a norma dell’art. 31 LPAm, applicabile in forza del richiamo dell’art. 38 cpv. 6 LALPT, il TPT condanna la parte soccombente al pagamento di un’indennità alla controparte; che soccombente è in linea di principio l’autorità che rivede nel senso postulato dal ricorrente la decisione impugnata (acquiescenza), che in concreto soccombente è il Cantone che ha aderito alle domande ricorsuali postulando l'accoglimento del ricorso; che venuto così meno l’interesse della vertenza questa va stralciata, con obbligo a carico del Consiglio di Stato di corrispondere congrue ripetibili all’insorgente, assistita da un avvocato; che tutto considerato, visto la relativa semplicità della materia del contendere e la conclusione della vertenza a uno stadio precoce del procedimento, un onorario di fr. 1.000.-- pare adeguato; Per questi motivi, dichiara e pronuncia 1.   Il ricorso é stralciato dai ruoli . 2.   Non si prelevano tasse né spese di giustizia; il Cantone corrisponderà fr. 1'000.-- (mille) di ripetibili al ricorrente. 3.   Intimazione:                  - Studio legale ______________________________, __________ - Municipio di __________ - Consiglio di Stato, Bellinzona - Sezione pianificazione urbanistica, 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