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90.2000.73 vom 20. November 2001</w:t>
      </w:r>
    </w:p>
    <w:p>
      <w:r>
        <w:t>TI Tribunale d'appello, 2001-11-20, IT</w:t>
      </w:r>
    </w:p>
    <w:p>
      <w:r>
        <w:rPr>
          <w:b/>
        </w:rPr>
        <w:t xml:space="preserve">Quelle: </w:t>
      </w:r>
      <w:r>
        <w:t>https://mcp.opencaselaw.ch/entscheid/ti_gerichte_90.2000.73</w:t>
      </w:r>
    </w:p>
    <w:p>
      <w:r>
        <w:t>FR: TI_GERICHTE 90.2000.73 du 20 novembre 2001</w:t>
      </w:r>
    </w:p>
    <w:p>
      <w:r>
        <w:t>IT: TI_GERICHTE 90.2000.73 del 20 novembre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competenza di questo tribunale è data dall'art. 26 quater lett. D LOG, introdotto con la Legge concernente l'istituzione del Tribunale della pianificazione del territorio, entrata in vigore il 1. ottobre 1992. A norma dell’art. 38 LALPT contro le decisioni del Consiglio di Stato è dato ricorso al Tribunale della pianificazione del territorio (TPT), entro 30 giorni dalla notificazione. L'art. 38 LALPT legittima a ricorrere il Comune (cpv. 4 lett. a), i già ricorrenti, per gli stessi motivi (cpv. 4 lett. b), e ogni altra persona o ente che dimostri un interesse degno di protezione a dipendenza delle modifiche decise dal Consiglio di Stato (cpv. 4 lett. c).</w:t>
      </w:r>
    </w:p>
    <w:p>
      <w:r>
        <w:rPr>
          <w:b/>
        </w:rPr>
        <w:t>E. 2</w:t>
      </w:r>
    </w:p>
    <w:p>
      <w:r>
        <w:t>A tal proposito si rileva che il sistema di protezione giuridica previsto dalla LALPT prevede due gradi di controllo: secondo l'art. 35 cpv. 1 LALPT contro il contenuto del piano è dato ricorso al Consiglio di Stato e contro le decisioni di quest'ultimo è dato ricorso al TPT. I ricorrenti non contestano la sospensione della decisione da parte del Consiglio di Stato in quanto tale, bensì l'eventuale non approvazione del comparto che interessa i loro fondi, ancor prima dell'emanazione della decisione di merito da parte di detta autorità, e quindi senza conoscerne né le motivazioni né le conclusioni. Il loro gravame risulta prematuro e quindi irricevibile per mancanza di una decisione impugnabile presso il TPT. Va rilevato che il gravame è già stato trasmesso al Consiglio di Stato, quale osservazione all'annunciata intenzione di non approvazione della zona interessata. Per questi motivi, dichiara e pronuncia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