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90.2000.20 vom 2. Februar 2004</w:t>
      </w:r>
    </w:p>
    <w:p>
      <w:r>
        <w:t>TI Tribunale d'appello, 2004-02-02, IT</w:t>
      </w:r>
    </w:p>
    <w:p>
      <w:r>
        <w:rPr>
          <w:b/>
        </w:rPr>
        <w:t xml:space="preserve">Quelle: </w:t>
      </w:r>
      <w:r>
        <w:t>https://mcp.opencaselaw.ch/entscheid/ti_gerichte_90.2000.20</w:t>
      </w:r>
    </w:p>
    <w:p>
      <w:r>
        <w:t>FR: TI_GERICHTE 90.2000.20 du 2 février 2004</w:t>
      </w:r>
    </w:p>
    <w:p>
      <w:r>
        <w:t>IT: TI_GERICHTE 90.2000.20 del 2 febbraio 2004</w:t>
      </w:r>
    </w:p>
    <w:p>
      <w:pPr>
        <w:pStyle w:val="Heading2"/>
      </w:pPr>
      <w:r>
        <w:t>Regeste</w:t>
      </w:r>
    </w:p>
    <w:p>
      <w:r>
        <w:t>Sentenza o decisione senza scheda</w:t>
      </w:r>
    </w:p>
    <w:p>
      <w:pPr>
        <w:pStyle w:val="Heading2"/>
      </w:pPr>
      <w:r>
        <w:t>Erwägungen</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Il ricorrente contesta tale assunto. Afferma che il nucleo di __________ costituisce un’agglomerazione edilizia degna di essere mantenuta viva. Rileva che il suo edificio non si trova in buono stato in quanto, dopo il crollo del tetto, ha dovuto smontare le pareti pericolanti per motivi di sicurezza. Aggiunge che era sua intenzione ricostruirlo. Chiede, pertanto, che il nucleo di __________ venga riconosciuto come meritevole di conservazione e l’edificio in esame possa, di conseguenza, essere ricostruito e trasformato in residenza.</w:t>
      </w:r>
    </w:p>
    <w:p>
      <w:r>
        <w:rPr>
          <w:b/>
        </w:rPr>
        <w:t>E. 3.3</w:t>
      </w:r>
    </w:p>
    <w:p>
      <w:r>
        <w:t>La valutazione impugnata dev’essere confermata. Come spiega il Governo, __________ non può essere classificato quale nucleo meritevole di conservazione, in quanto esso non presenta caratteristiche strutturali e architettoniche che adempiono ai criteri (restrittivi) per la valutazione di tali nuclei (cfr. risoluzione impugnata, cifre 3.2.1, 4.2, pag. 3 e 5). In sede di esame preliminare il dipartimento aveva già peraltro anticipato a chiare lettere che __________ non poteva essere ritenuto quale elemento paesaggistico emergente, tenuto conto della scala di valori adottata nell’ambito cantonale (cfr. esame preliminare 6 maggio 1996, cifra 4.2, pag. 6). Ne consegue che la ricostruzione dei diroccati colà ubicati tra cui deve essere annoverato l’edificio n. __________, non può essere ammessa.</w:t>
      </w:r>
    </w:p>
    <w:p>
      <w:r>
        <w:rPr>
          <w:b/>
        </w:rPr>
        <w:t>E. 3.4</w:t>
      </w:r>
    </w:p>
    <w:p>
      <w:r>
        <w:t>Il ricorso deve essere, dunque, respinto. 4.   La tassa di giudizio è posta a carico del ricorrente (art. 28 PAmm). Per questi motivi, visti gli articoli di legge applicabili alla fattispecie; dichiara e pronuncia: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2.5. 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3.3.1. Nell'ambito dell'adozione della variante di piano regolatore concernente l'inventario degli edifici situati fuori dalle zone edificabili l’assemblea comunale di __________ ha definito il nucleo di __________ come nucleo meritevole di conservazione e ha classificato l'edificio n. __________, posto in questa località, nella categoria "meritevole 1b", ossia tra quegli edifici rustici diroccati per i quali è ammessa la riedificazione e la trasformazione. Approvando la variante il Consiglio di Stato ha invece escluso che il nucleo di _________ potesse essere considerato meritevole di conservazione e ha modificato la valutazione dell’edificio citato in "diroccato 2" (cfr. risoluzione impugnata, cifra 4.2, pag.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