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90.2000.19 vom 2. Februar 2004</w:t>
      </w:r>
    </w:p>
    <w:p>
      <w:r>
        <w:t>TI Tribunale d'appello, 2004-02-02, IT</w:t>
      </w:r>
    </w:p>
    <w:p>
      <w:r>
        <w:rPr>
          <w:b/>
        </w:rPr>
        <w:t xml:space="preserve">Quelle: </w:t>
      </w:r>
      <w:r>
        <w:t>https://mcp.opencaselaw.ch/entscheid/ti_gerichte_90.2000.19</w:t>
      </w:r>
    </w:p>
    <w:p>
      <w:r>
        <w:t>FR: TI_GERICHTE 90.2000.19 du 2 février 2004</w:t>
      </w:r>
    </w:p>
    <w:p>
      <w:r>
        <w:t>IT: TI_GERICHTE 90.2000.19 del 2 febbraio 2004</w:t>
      </w:r>
    </w:p>
    <w:p>
      <w:pPr>
        <w:pStyle w:val="Heading2"/>
      </w:pPr>
      <w:r>
        <w:t>Regeste</w:t>
      </w:r>
    </w:p>
    <w:p>
      <w:r>
        <w:t>Sentenza o decisione senza scheda</w:t>
      </w:r>
    </w:p>
    <w:p>
      <w:pPr>
        <w:pStyle w:val="Heading2"/>
      </w:pPr>
      <w:r>
        <w:t>Erwägungen</w:t>
      </w:r>
    </w:p>
    <w:p>
      <w:r>
        <w:rPr>
          <w:b/>
        </w:rPr>
        <w:t>E. 30</w:t>
      </w:r>
    </w:p>
    <w:p>
      <w:r>
        <w:t>gennaio 2002, capitolo "Situazione: problematiche, conflitti"). 2.2. D al punto di vista del diritto federale l'art. 39 OPT, ai cpv. 2 e 3, pone le premesse e le condizioni in base alle quali l'autorità cantonale competente può autorizzare, fuori dalle zone edificabili, il cambiamento di destinazione di detti edifici e impianti (cfr., in precedenza, l'art. 24 cpv. 2 e 3 dell'or abrogata OPT del 2 ottobre 1989, cpv. 2 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devono essere, dunque, un pretesto per giustificare una modifica dell'utilizzazione inammissibile giusta l'art. 24 LPT: occorre, pertanto,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 Come spiega il rapporto d’esame allestito dall’ufficio federale dello sviluppo territoriale alla cifra 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w:t>
      </w:r>
    </w:p>
    <w:p>
      <w:r>
        <w:rPr>
          <w:b/>
        </w:rPr>
        <w:t>E. 33</w:t>
      </w:r>
    </w:p>
    <w:p>
      <w:r>
        <w:t>cpv. 3 lett. b LPT - i casi in cui è impugnata una modifica del piano regolatore disposta d'ufficio dal Consiglio di Stato. 3.3.1. Nell'ambito dell'adozione della variante di piano regolatore concernente l'inventario degli edifici situati fuori dalle zone edificabili l’assemblea comunale di __________ ha definito il nucleo di __________ come nucleo meritevole di conservazione e ha classificato gli edifici n. __________e n. __________, posti in questa località, nella categoria "meritevole 1b", ossia tra quegli edifici rustici che possono essere ricostruiti e per i quali è ammessa la trasformazione. Approvando la variante il Consiglio di Stato ha invece escluso che il nucleo di __________ potesse essere considerato meritevole di conservazione e ha modificato la valutazione degli edifici citati in "diroccato 2" (cfr. risoluzione impugnata, cifra 4.2, pag. 5). 3.2. Il ricorrente contesta tale assunto. Afferma che il nucleo di __________ si trova all’interno di un’ampia area agricola, di cui costituisce un elemento paesaggistico importante che merita di essere salvaguardato. Aggiunge che è una testimonianza di valore storico-culturale. Chiede, pertanto, che il nucleo di __________ venga considerato meritevole di conservazione e che gli edifici in esame vengano assegnati alla categoria “meritevole 1b” e possano, di conseguenza, essere ricostruiti e trasformati in residenza. 3.3. La valutazione impugnata dev’essere confermata. Come spiega il Governo, __________ non può essere classificato quale nucleo meritevole di conservazione, in quanto esso non presenta caratteristiche strutturali e architettoniche che adempiono ai criteri (restrittivi) espressi per la valutazione di tali nuclei (cfr. risoluzione impugnata, cifre 3.2.1, 4.2, pag. 3 e 5). In sede di esame preliminare il dipartimento aveva già peraltro anticipato a chiare lettere che __________ non poteva essere ritenuto quale elemento paesaggistico emergente, tenuto conto della scala di valori adottata nell’ambito cantonale (cfr. esame preliminare 6 maggio 1996, cifra 4.2, pag. 6 seg.). Ne consegue che la ricostruzione dei diroccati colà ubicati, tra cui devono essere annoverati gli edifici n. __________e __________, non può essere ammessa. 3.4. Il ricorso deve essere, dunque, respinto. 4.   Il Tribunale prescinde dal prelievo di una tassa di giudizio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