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90.2000.13 vom 19. Juli 2000</w:t>
      </w:r>
    </w:p>
    <w:p>
      <w:r>
        <w:t>TI Tribunale d'appello, 2000-07-19, IT</w:t>
      </w:r>
    </w:p>
    <w:p>
      <w:r>
        <w:rPr>
          <w:b/>
        </w:rPr>
        <w:t xml:space="preserve">Quelle: </w:t>
      </w:r>
      <w:r>
        <w:t>https://mcp.opencaselaw.ch/entscheid/ti_gerichte_90.2000.13</w:t>
      </w:r>
    </w:p>
    <w:p>
      <w:r>
        <w:t>FR: TI_GERICHTE 90.2000.13 du 19 juillet 2000</w:t>
      </w:r>
    </w:p>
    <w:p>
      <w:r>
        <w:t>IT: TI_GERICHTE 90.2000.13 del 19 luglio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dei ricorrenti è senz’altro data a norma dell’art. 38 cpv. 4 lett. c) LALPT. Presentato nei termini di legge, e quindi tempestivo, il ricorso è ricevibile in ordine.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Sempre in ordine, i ricorrenti lamentano la motivazione carente della decisione impugnata. A proposito si osserva che corrisponde a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 condiviso, malgrado le censure ricorsuali, la mancata assegnazione della proprietà dei ricorrenti alla zona edificabile. Ciò è d’altronde bastato ai signori __________ per presentare un più che circostanziato ricorso. Per il che la censura non merita di venir accolta.</w:t>
      </w:r>
    </w:p>
    <w:p>
      <w:r>
        <w:rPr>
          <w:b/>
        </w:rPr>
        <w:t>E. 4</w:t>
      </w:r>
    </w:p>
    <w:p>
      <w:r>
        <w:t>Giusta l'art. 75 Cost. i Cantoni devono allestire dei piani d'azzonamento per assicurare una funzionale utilizzazione del suolo e una razionale abitabilità del territorio. A livello legislativo l'obbligo di pianificare è codificato all'art. 2 LPT.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5.1</w:t>
      </w:r>
    </w:p>
    <w:p>
      <w:r>
        <w:t>Per prassi costante del Tribunale federale, una restrizione di diritto pubblico della proprietà è compatibile con la garanzia della proprietà sancita dall'art. 26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10 febbraio 1992 in re Micheli, consid. 5b; DTF 115 Ia 29 consid. 4; 114 Ia 249 consid. 5a; 114 Ia 337 consid. 2; 113 Ia 364 consid. 2). A tale proposito va sottolineato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 Nella fattispecie il problema della violazione della garanzia della proprietà quale istituto non si pone. I problemi espropriativi esulano invece da questa procedura.</w:t>
      </w:r>
    </w:p>
    <w:p>
      <w:r>
        <w:rPr>
          <w:b/>
        </w:rPr>
        <w:t>E. 5.2</w:t>
      </w:r>
    </w:p>
    <w:p>
      <w:r>
        <w:t>A norma dell'art. 26 LALPT, il PR si compone di un rapporto di pianificazione, di norme di attuazione, di un programma di realizzazione e di rappresentazioni grafiche. Queste ultime comprendono di regola i piani del paesaggio, delle zone, del traffico, delle attrezzature e costruzioni di interesse pubblico e il piano indicativo dei servizi pubbli­ci (art. 28 LALPT). A norma di legge il paesaggio deve essere rispettato. Questo principio pianificatorio, sancito all'art. 3 cpv. 2 LPT, vale a maggior ragione in presenza di paesaggi particolar­mente pregevoli e rari. Giusta l'art. 17 LPT le zone protette comprendono i ruscel­li, i fiumi, i laghi e le loro rive; i paesaggi particolar­mente belli e quelli con valore naturalistico o storico-cul­turale; i siti caratteristici, i luoghi storici e i monumen­ti naturali e culturali; i biotopi per gli animali e vegeta­li degni di protezione (cfr. nel merito il Commento alla LPT, p. 307 e segg.). Di conseguenza, secondo l'art. 17 cpv. 1 LPT (ma anche giusta l'art. 28 cpv. 2 lett. f) LALPT), un PR può indubbiamente avere tra le sue finalità anche la protezione di un nucleo e di un paesaggio pregevole. L'ambi­to protetto ai sensi di queste norme comprende non solo l'oggetto della protezione ma anche l'ambiente circo­stante, nella misura in cui altrimenti la protezione dell'oggetto medesimo non potrebbe essere assicurata (Commen­­­­­to alla LPT, n° 29 ad art. 17, p. 311). E' quindi limpido che l'ordinamento all'esame ossequia il principio della legalità. Restano da esaminare, nell'am­bito dell'esame delle censure ricorsuali, l'esistenza di un interesse pubblico e il rispetto del principio della propor­zionalità.</w:t>
      </w:r>
    </w:p>
    <w:p>
      <w:r>
        <w:rPr>
          <w:b/>
        </w:rPr>
        <w:t>E. 5.3</w:t>
      </w:r>
    </w:p>
    <w:p>
      <w:r>
        <w:t>Il PR di __________ attribuisce la proprietà dei signori __________ alla zona di protezione del paesaggio e alla zona agricola. E' chiaro che la pianifica­zione del Comune è volta a proteggere il nucleo, il cui pregio consiste anzitutto nella struttura insediativa (orientamento est-ovest), determinata dal tracciato della vecchia mulattiera, che si conclude a nord con il complesso monumentale della __________ di __________ __________. Tale disegno pianificatorio, di sicura qualità, risponde senza dubbio ad un interesse pubblico: il sopralluogo ha infatti evidenziato la bellezza e l'inserimento paesaggistico armonioso del nucleo nel contesto della campagna di __________, così come il ruolo importantissimo svolto dalla fascia inedificata (ed inedificabile) che conclude ad ovest il nucleo; fascia nella quale la proprietà dei signori __________ si inserisce. Proprio tale superficie, parzialmente vignata, valorizza in modo particolare l'abitato di __________a. E' pertanto a giusta ragione che la proprietà è stata inserita in una zona di protezione e (quasi interamente) assegnata alla zona agricola.</w:t>
      </w:r>
    </w:p>
    <w:p>
      <w:r>
        <w:rPr>
          <w:b/>
        </w:rPr>
        <w:t>E. 5.4</w:t>
      </w:r>
    </w:p>
    <w:p>
      <w:r>
        <w:t>Resta così da esaminare se il vincolo in esame risulta rispettoso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Sotto questo profilo, le censure dei ricorrenti meritano di venir parzialmente condivise: al proposito occorre anzitutto rilevare come il nucleo di __________, la cui struttura insediativa è orientata sull'asse est-ovest, confina a sud direttamente con la zona residenziale. Da un esame degli atti acquisiti all'incarto, ed in particolare dalla planimetria prodotta dagli stessi ricorrenti, si evince tuttavia come il vincolo di protezione non si limita a seguire il fronte ovest del nucleo, ma viene ad invadere per ca. 18 ml, la zona residenziale, che presenta ad ovest un perimetro più esteso rispetto a quello del nucleo, colpendo interamente il mapp. n° __________RF. Orbene, il sopralluogo esperito da questo Tribunale ha permesso di appurare come la parte del mapp. n° __________RF situata oltre il fronte del nucleo sia ubicata in un punto in cui un'eventuale edificazione non potrebbe sicuramente compromette­re la bellezza di questo piccolo villaggio. La sua inclusione nella fascia di protezione non risulta pertanto giustificata da motivi volti alla salvaguardia e alla tutela delle caratteristiche nonché delle particolarità del nucleo. Importante, dal punto di vista della protezione del paesag­gio, è semmai che il vigneto al mapp. n°__________RF, il mapp. n° __________RF e la parte del mapp. n° __________RF che serve a completare la fascia di protezione del fronte rimangano inedificabili. Allo scopo di garantire la protezione del nucleo bastava quindi ricorrere ad un ordinamento pianificatorio meno oneroso per i proprietari. Su questo punto il ricorso merita dunque di essere accolto. Gli atti vengono rinviati al Comune, affinché riesamini l'assetto pianificatorio del mapp. n° __________RF tramite l’elaborazione di una variante.</w:t>
      </w:r>
    </w:p>
    <w:p>
      <w:r>
        <w:rPr>
          <w:b/>
        </w:rPr>
        <w:t>E. 6</w:t>
      </w:r>
    </w:p>
    <w:p>
      <w:r>
        <w:t>Priva di fondamento é infine l’invocata disparità di trattamento, per il fatto che la proprietà dei signori __________ non sarebbe stata inserita in zona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comunali di escludere la proprietà dei ricorrenti dalla zona edificabile sia stata determinata da criteri discriminatori, manifestamente insostenibili o, peggio ancora, arbitrari. Le motivazioni addotte a suffragio di questa scelta, riassunte con dovizia nei considerandi precedenti, sono tuttavia più che valide e convincenti, e meritano, con riserva di quanto esposto in merito al mapp. n° __________RF, piena riconferma in questa sede. Stando così le cose, il ricorso, nella misura in cui chiede l’inserimento di tutta la proprietà in zona edificabile, deve essere respinto. Le spese, le tasse di giudizio, nonché le ripetibili seguono la soccombenza. Tuttavia, poiché il Comune è intervenuto non a difesa di interesse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