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90.1998.82 vom 31. Mai 1999</w:t>
      </w:r>
    </w:p>
    <w:p>
      <w:r>
        <w:t>TI Tribunale d'appello, 1999-05-31, IT</w:t>
      </w:r>
    </w:p>
    <w:p>
      <w:r>
        <w:rPr>
          <w:b/>
        </w:rPr>
        <w:t xml:space="preserve">Quelle: </w:t>
      </w:r>
      <w:r>
        <w:t>https://mcp.opencaselaw.ch/entscheid/ti_gerichte_90.1998.82</w:t>
      </w:r>
    </w:p>
    <w:p>
      <w:r>
        <w:t>FR: TI_GERICHTE 90.1998.82 du 31 mai 1999</w:t>
      </w:r>
    </w:p>
    <w:p>
      <w:r>
        <w:t>IT: TI_GERICHTE 90.1998.82 del 31 maggio 1999</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i proprietari dei fondi la cui situazione è stata modificata dalla decisione del Consiglio di Stato (cpv. 4 lett. c). In concreto, la legittimazione attiva della ricorrente, insorta in seguito alla mancata approvazione da parte del Consiglio di Stato dell’azzonamento previsto dal Comune per il comparto dove insiste il suo fondo, è data a norma dell’art. 38 cpv. 4 lett. c) LALPT. Il ricorso, tempestivo, è ricevibile in ordine.</w:t>
      </w:r>
    </w:p>
    <w:p>
      <w:r>
        <w:rPr>
          <w:b/>
        </w:rPr>
        <w:t>E. 2</w:t>
      </w:r>
    </w:p>
    <w:p>
      <w:r>
        <w:t>II Comune gode di autonomia in quelle materie che il diritto cantonale o federale non regola esaurientemente, ma lascia in tutto o in parte alla regolamentazione del Comune, conferendogli una notevole latitudine decisionale (art. 16 CF;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Esso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 Tranne nel caso in cui, giusta l’art. 33 cpv. 3 lett. b LPT, con il ricorso venga impugnata una modifica d’ufficio del PR, il TPT non dispone, contrariamente al Consiglio di Stato, del sindacato d’opportunità: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Sia qui puntualizzato che anche nella presente vertenza lo scrivente Tribunale non dispone del sindacato d’opportunità: infatti malgrado la decisione impugnata annoveri a p. 42, p.to 6 d), la mancata approvazione dell’ampliamento della zona RE in località Amelogna fra le modifiche d’ufficio e “reinserisca” i fondi in zona agricola SAC (cfr. allegato 7), in realtà il Governo non ha emendato carenze o errori pianificatori evidenti, modificando su questo punto il piano (DTF 111 Ia 69-70, consid. 3d), ma si è limitato a non approvarlo.</w:t>
      </w:r>
    </w:p>
    <w:p>
      <w:r>
        <w:rPr>
          <w:b/>
        </w:rPr>
        <w:t>E. 3</w:t>
      </w:r>
    </w:p>
    <w:p>
      <w:r>
        <w:t>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3.1</w:t>
      </w:r>
    </w:p>
    <w:p>
      <w:r>
        <w:t>Entrando nel merito della vertenza, occorre anzitutto ricordare che 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3.3</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Si terrà conto che l’art.</w:t>
      </w:r>
    </w:p>
    <w:p>
      <w:r>
        <w:rPr>
          <w:b/>
        </w:rPr>
        <w:t>E. 3.4</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3.5</w:t>
      </w:r>
    </w:p>
    <w:p>
      <w:r>
        <w:t>Nel caso di specie è innanzitutto necessario esaminare la questione generale della contenibilità teorica del PR (art. 15 lett. b LPT). L’idoneità all’edificazione e le altre caratteristiche dei comparti territoriali all’esame saranno singolarmente esaminate di seguito. L’eccessivo dimensionamento delle zone edificabili del PR all’esame è infatti il motivo principale della mancata attribuzione delle zone in questione al territorio edificabile. Dal rapporto di pianificazione risulta che il nuovo PR di __________ è dimensionato per una contenibilità teorica di circa 3’250 unità insediative, ciò che corrisponde a quasi la triplicazione della situazione attuale che conta 1166 unità insediative. Per sfruttare a pieno il potenziale edificatorio previsto dal PR si dovrebbe quindi verificare, nei prossimi 10,15 anni (di cui all’art. 15 LPT), un aumento del 178% della popolazione attuale . Situazione questa difficilmente ipotizzabile, specialmente se si considera che l’evoluzione demografica registrata nel comune negli ultimi decenni rende altamente improbabile l’esigenza di una così elevata ricettività del PR. In effetti, come rilevato dall’Annuario statistico ticinese, la popolazione economica residente nel comune è passata da 521 unità nel 1970 a 582 nel 1980 e a 712 nel 1990, pari quindi ad un aumento del 22,3% nell’ultimo decennio. Aumenti questi ben lontani da quello pronosticato per i prossimi 10-15 anni dal nuovo PR. Anche nelle ipotesi più ottimistiche, va escluso che nel prossimo decennio la popolazione del Comune di __________ triplichi. Importante rilevare che la contenibilità è in concreto stata calcolata considerando un grado di attuazione del 50%, quindi un valore molto basso rispetto agli usuali parametri, rispettivamente che il Comune ha tolto l’indice di sfruttamento massimo (reinserito d’ufficio dal Consiglio di Stato almeno per la zona residenziale estensiva (RE e RSE vedi decisione impugnata pag. 23), ciò che comporta pure un considerevole aumento del potenziale edificatorio.</w:t>
      </w:r>
    </w:p>
    <w:p>
      <w:r>
        <w:rPr>
          <w:b/>
        </w:rPr>
        <w:t>E. 3.6</w:t>
      </w:r>
    </w:p>
    <w:p>
      <w:r>
        <w:t>In simili circostanze altro non si può concludere che l’assegnazione del comparto all’esame alla zona edificabile non risponde evidentemente ai precetti degli art. 1 e in particolare 3 LPT (insediamenti strutturati secondo i bisogni della popolazione) e nel contempo è contraria al requisito di cui all’art. 15 lett. b LPT. La sua adozione da parte del Comune è quindi contraria al diritto federale (cfr. DTF 114 Ia 255) e pertanto non può trovare conferma in questa sede. Inoltre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 Anche il presupposto di una preesistente ampia edificazione, di cui all’art 15 lett. a LPT, non è in concreto adempiuto. In effetti, salvo per pochi edifici sparsi, tutti i fondi situati in località Amelogna risultano ancora liberi da costruzioni. Meritano quindi di venir pienamente condivise le riflessioni del Consiglio di Stato, il quale sottolinea a p. 15 della decisione impugnata, la necessità di mantenere l’edificazione confinata nella zona RE a monte della strada, evitando di invadere un nuovo comparto agricolo e assicurando così un disegno pianificatorio più chiaro.</w:t>
      </w:r>
    </w:p>
    <w:p>
      <w:r>
        <w:rPr>
          <w:b/>
        </w:rPr>
        <w:t>E. 4</w:t>
      </w:r>
    </w:p>
    <w:p>
      <w:r>
        <w:t>Per una completa ponderazione degli interessi in gioco deve tuttavia essere ancora verificato se esistono altre ragioni a supporto dell’impugnata risoluzione. A mente di questo Tribunale oltre al problema del sovradimensionamento ci sono anche motivi di natura agricola, che concorrono a giustificare lo stralcio del comparto all’esame dalla zona RE. Secondo le norme che presiedono all’istituzione delle zone agricole, queste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Orbene nel caso concreto lo stralcio del comparto all’esame della zona RE trova piena conferma anche nelle indicazioni del PD, che attribuisce tutta l’area alla zona SAC (“superfici di avvicendamento culturale”; scheda di coordinamento 3.1 e 10.1). Considerate queste indicazioni, l’operato governativo ossequia la legislazione cantonale sul territorio agricolo. L’art. 5 lett. a LTAgr. prevede infatti che i terreni di cui alla scheda di PD n° 3.1 devono essere inseriti in zona agricola. Per tutti questi motivi la decisione impugnata merita quindi di venir confermata. Le spese e la tassa di giudizio, nonché le ripetibili seguono la soccombenza. Per questi motivi, visti gli articoli di legge applicabili alla fattispecie, dichiara e pronuncia 1.   Il ricorso è respinto . 2.   La ricorrente è condannata al pagamento delle tasse di giudizio e delle spese per complessivi fr. 400.-- (quattrocento). Non si assegnano ripetibili. 3.   Intimazione:                   - avv. __________. __________, ____________________, - Municipio di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