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90.1998.78 vom 11. September 2003</w:t>
      </w:r>
    </w:p>
    <w:p>
      <w:r>
        <w:t>TI Tribunale d'appello, 2003-09-11, IT</w:t>
      </w:r>
    </w:p>
    <w:p>
      <w:r>
        <w:rPr>
          <w:b/>
        </w:rPr>
        <w:t xml:space="preserve">Quelle: </w:t>
      </w:r>
      <w:r>
        <w:t>https://mcp.opencaselaw.ch/entscheid/ti_gerichte_90.1998.78</w:t>
      </w:r>
    </w:p>
    <w:p>
      <w:r>
        <w:t>FR: TI_GERICHTE 90.1998.78 du 11 septembre 2003</w:t>
      </w:r>
    </w:p>
    <w:p>
      <w:r>
        <w:t>IT: TI_GERICHTE 90.1998.78 del 11 settembre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 ha classificato l'edificio in oggetto, posto in località __________ di __________ /__________, nella categoria "meritevole 1d", ossia tra quegli edifici ancora utilizzati (o utilizzabili) a scopo agricolo, sia nelle superfici per l’avvicendamento colturale (SAC) sia negli altri terreni inclusi nella zona agricola del piano regolatore, che devono mantenere tale destinazione. Approvando la variante il Consiglio di Stato ha confermato tale valutazione (cfr. risoluzione impugnata, cifra 4.1, pag. 8 segg.).</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Il ricorrente contesta tale assunto. Afferma che l’edificio, già a suo tempo adibito ad abitazione, non si presta ad un razionale sfruttamento agricolo. Chiede pertanto, che lo stabile venga assegnato alla categoria “meritevole 1a” e possa, di conseguenza, essere trasformato in residenza. In caso contrario l’edificio è votato ad un irreversibile deperimento.</w:t>
      </w:r>
    </w:p>
    <w:p>
      <w:r>
        <w:rPr>
          <w:b/>
        </w:rPr>
        <w:t>E. 3.3</w:t>
      </w:r>
    </w:p>
    <w:p>
      <w:r>
        <w:t>La valutazione effettuata dall’autorità comunale, tutelata dal Consiglio di Stato, merita di essere condivisa. Essa è conforme alle direttive cantonali. L’edificio in oggetto è, difatti, ubicato nelle zone SAC sancite a livello di piano direttore (cfr. risoluzione impugnata, cifra 4.1, pag. 9), che dovranno essere riprese in sede di piano regolatore (art. 4 LTagr). Invano il ricorrente pretende di spuntare la classificazione dell’edificio nella categoria “meritevole 1a”, asserendo che questo non è idoneo al soddisfacimento dei bisogni agricoli: anche se non potesse essere adibito a stalla o a fienile esso potrebbe senz’altro essere impiegato per soddisfare delle necessità minori di queste attività (ad esempio come piccolo deposito di attrezzi, materiale ecc.). Nemmeno la prospettiva che lo stabile non venga mai più utilizzato a scopo rurale basterebbe per la sua riclassificazione tra quelli che possono essere mutati nella destinazione, ostandovi la prevalente necessità di salvaguardare le SAC da quegli interventi che si prestano, direttamente o indirettamente, a pregiudicare la loro funzione. Non è, peraltro, possibile dedurre - tantomeno sarebbe conforme al diritto federale applicabile in concreto - che tutti gli edifici rustici in buono stato di conservazione possano essere trasformati (in residenza): una scelta, in concreto ispirata da motivi pertinenti ed oggettivi e - pertanto - legittima, appare imprescindibile.</w:t>
      </w:r>
    </w:p>
    <w:p>
      <w:r>
        <w:rPr>
          <w:b/>
        </w:rPr>
        <w:t>E. 3.4</w:t>
      </w:r>
    </w:p>
    <w:p>
      <w:r>
        <w:t>Il ricorso deve essere, dunque, respinto. 4.   La tassa di giudizio è posta a carico del ricorrente (art. 28 PAmm). Per questi motivi, visti gli articoli di legge applicabili alla fattispecie, dichiara e pronuncia 1.   Il ricorso è respinto . 2. La tassa di giudizio, di fr. 500.--, è posta a carico del ricorrente. 3.   Intimazione a: - _________ _________ , __________. __________ __________, ____________________ __________; - Municipio di _________ , __________ _________; - Divisione della pianificazione territoriale , _____ _. ________ __, ____ ____________; - Consiglio di Stato , Residenza governativa, ____ _____________.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