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90.1998.56 vom 11. September 2003</w:t>
      </w:r>
    </w:p>
    <w:p>
      <w:r>
        <w:t>TI Tribunale d'appello, 2003-09-11, IT</w:t>
      </w:r>
    </w:p>
    <w:p>
      <w:r>
        <w:rPr>
          <w:b/>
        </w:rPr>
        <w:t xml:space="preserve">Quelle: </w:t>
      </w:r>
      <w:r>
        <w:t>https://mcp.opencaselaw.ch/entscheid/ti_gerichte_90.1998.56</w:t>
      </w:r>
    </w:p>
    <w:p>
      <w:r>
        <w:t>FR: TI_GERICHTE 90.1998.56 du 11 septembre 2003</w:t>
      </w:r>
    </w:p>
    <w:p>
      <w:r>
        <w:t>IT: TI_GERICHTE 90.1998.56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(c__________ __________). Come spiega il rapporto d’esame allestito dall’ufficio federale dello sviluppo territoriale alla cifra __________.__________.__________,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 ha classificato gli edifici n. _________, ubicati al mapp. n. _________, in località Piano, nella categoria "meritevole 1d", ossia tra quegli edifici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tale assunto. Afferma che i fabbricati in oggetto, di particolare pregio, formano un vero nucleo che sin dal secolo scorso ha avuto una destinazione abitativa. Aggiunge che soltanto un paio dei locali di tali edifici erano utilizzati a scopo agricolo. Chiede, pertanto, che essi vengano assegnati alla categoria “meritevole 1a” e possano, di conseguenza, essere trasformati in residenza. In caso contrario gli edifici sono votati ad un irreversibile deperimento.</w:t>
      </w:r>
    </w:p>
    <w:p>
      <w:r>
        <w:rPr>
          <w:b/>
        </w:rPr>
        <w:t>E. 3.3</w:t>
      </w:r>
    </w:p>
    <w:p>
      <w:r>
        <w:t>La valutazione effettuata dall’autorità comunale, tutelata dal Consiglio di Stato, merita di essere condivisa. Essa è conforme alle direttive cantonali. Gli edifici in oggetto sono, difatti, ubicati nelle zone SAC sancite a livello di piano direttore (cfr. risoluzione impugnata, cifra 4.1, pag. 9), che dovranno essere riprese in sede di piano regolatore (art. 4 seg. LTagr). Invano il ricorrente pretende di spuntare la classificazione degli edifici nella categoria “meritevole 1a”, asserendo che questi non sono idonei al soddisfacimento dei bisogni agricoli: anche se non potessero essere adibiti a stalla o a fienile essi potrebbero senz’altro essere impiegati per soddisfare delle necessità minori di queste attività (ad esempio come piccoli depositi di attrezzi, materiale ecc.). Nemmeno la prospettiva che gli stabili non vengano mai più utilizzati a scopo rurale basterebbe per giustificare la loro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a buono stato di conservazione possano essere trasformati (in residenza): una scelta, in concreto ispirata da motivi pertinenti ed oggettivi e - pertanto -  legittima, appare imprescindibile.</w:t>
      </w:r>
    </w:p>
    <w:p>
      <w:r>
        <w:rPr>
          <w:b/>
        </w:rPr>
        <w:t>E. 3.4</w:t>
      </w:r>
    </w:p>
    <w:p>
      <w:r>
        <w:t>Il ricorso deve essere, dunque, respinto. 4.   La tassa di giudizio è posta a carico del ricorrente (art. 28 PAmm). Per questi motivi, visti gli articoli di legge applicabili alla fattispecie, dichiara e pronuncia 1.   Il ricorso è respinto . 2. La tassa di giudizio, di fr. 600.--, è posta a carico del ricorrente. 3.   Intimazione a: - _________ _________ , ____________________. __________; rappr. da: avv. __________ __________ __________, __________ __________ __________ __________, ____________________ __________ __________; - Municipio di _________ , ___________________; - Divisione della pianificazione territoriale , _____ _. _________ __, ____ ___________; - Consiglio di Stato , Residenza governativa, ____ 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