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90.1998.46 vom 20. Februar 2002</w:t>
      </w:r>
    </w:p>
    <w:p>
      <w:r>
        <w:t>TI Tribunale d'appello, 2002-02-20, IT</w:t>
      </w:r>
    </w:p>
    <w:p>
      <w:r>
        <w:rPr>
          <w:b/>
        </w:rPr>
        <w:t xml:space="preserve">Quelle: </w:t>
      </w:r>
      <w:r>
        <w:t>https://mcp.opencaselaw.ch/entscheid/ti_gerichte_90.1998.46</w:t>
      </w:r>
    </w:p>
    <w:p>
      <w:r>
        <w:t>FR: TI_GERICHTE 90.1998.46 du 20 février 2002</w:t>
      </w:r>
    </w:p>
    <w:p>
      <w:r>
        <w:t>IT: TI_GERICHTE 90.1998.46 del 20 febbraio 2002</w:t>
      </w:r>
    </w:p>
    <w:p>
      <w:pPr>
        <w:pStyle w:val="Heading2"/>
      </w:pPr>
      <w:r>
        <w:t>Regeste</w:t>
      </w:r>
    </w:p>
    <w:p>
      <w:r>
        <w:t>Sentenza o decisione senza scheda</w:t>
      </w:r>
    </w:p>
    <w:p>
      <w:pPr>
        <w:pStyle w:val="Heading2"/>
      </w:pPr>
      <w:r>
        <w:t>Erwägungen</w:t>
      </w:r>
    </w:p>
    <w:p>
      <w:r>
        <w:rPr>
          <w:b/>
        </w:rPr>
        <w:t>E. 2</w:t>
      </w:r>
    </w:p>
    <w:p>
      <w:r>
        <w:t>Nel merito Giusta l'art. 35 Lpamm il rimedio della revisione è dato unicamente in virtù di ben determinati motivi, vale a dire: · se l'Autorità ha aggiudicato ad una parte più di quanto essa ha domandato o meno di quanto la controparte ha riconosciuto o altra cosa senza che una speciale norma lo consenta (lett. a); · se essa non ha apprezzato, per inavvertenza, fatti rilevanti che risultano dagli atti o se la decisione contiene disposizioni fra di loro contraddittorie (lett. b); · se da un procedimento penale risulta che un crimine o un delitto ha influito sulla decisione a pregiudizio dell'istante (lett. c); · se l'istante, dopo la decisione, è venuto a conoscenza di fatti nuovi rilevanti o ha scoperto prove decisive che non aveva potuto fornire, senza sua colpa, nella procedura precedente (lett. d); Occorre rilevare come i motivi contemplati dalle lettere a), b) e c) art. 35 Lpamm non sono di gran lunga rintracciabili nella presente fattispecie alla luce della natura del provvedimento querelato, dell'istruttoria condotta in quell'ambito, nonché del suo esito. Pure il motivo di cui all'art. 35 lett. d) Lpamm non risulta minimamente adempiuto, risultando oltretutto manifestamente improponibile. Difatti, l'istante fa valere di essere recentemente venuto a conoscenza della nuova misurazione planimetrica effettuata dall'Ing. __________ __________, che indica sul suo fondo (mapp. n. _________ ) l'alveo del riale, che invece scorre sul fondo limitrofo (mapp. n. __________). Orbene, per i motivi illustrati in precedenza, la decisione di escludere dalla zona edificabile i terreni dell'istante, come pure di tutti quelli compresi nel comparto "al Bisole", si è fondata su motivi che prescindono ed esulano completamente dalla localizzazione del tracciato di detto riale. Di conseguenza, il fatto addotto non è assolutamente rilevante per la fattispecie. Inoltre, ritenuto che all'epoca della sentenza di questo Tribunale, 15 marzo 1999, la nuova misurazione non era ancora stata pubblicata (luglio 1999) e, come ben documenta l'istante nel complemento del 22 ottobre 2001, la vecchia mappa catastale rilevava fedelmente il riale sul mapp. n. 325, il fatto addotto non può essere considerato con tutta evidenza un fatto nuovo ai sensi della lettera d) dell'art. 35 Lpamm. Non solo, ma considerato che nel frattempo la rilevazione planimetrica è stata corretta escludendo dal fondo n. 4 il riale in oggetto (cfr. doc. allegato al complemento d'istanza 13 novembre 2001), la presente istanza appare oltretutto temeraria. Stando così le cose, non sussistono neppure lontanamente motivi per procedere al riesame della fattispecie (cfr. Borghi/Corti, Compendio di procedura amministrativa ticinese, ad art. 35 Lpamm, pag. 189) e, sia detto per chiarezza, non se ne ravviserebbero nemmeno nell'ipotesi ventilata dall'istante di un'attribuzione alla zona edificabile del comparto, prospiciente al suo terreno, ubicato nel territorio del comune di __________, quest'ultimo risultando dal profilo pianificatorio nettamente separato dal comprensorio "__________ __________ " per mezzo dell'asse stradale cantonale che conduce in direzione di __________.</w:t>
      </w:r>
    </w:p>
    <w:p>
      <w:r>
        <w:rPr>
          <w:b/>
        </w:rPr>
        <w:t>E. 3</w:t>
      </w:r>
    </w:p>
    <w:p>
      <w:r>
        <w:t>Visto quanto precede, l'istanza, manifestamente infondata, non può che essere respinta. Spese e tasse di giudizio seguono la soccombenza. Per questi motivi, visti gli articoli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