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90.1998.36 vom 12. Oktober 2001</w:t>
      </w:r>
    </w:p>
    <w:p>
      <w:r>
        <w:t>TI Tribunale d'appello, 2001-10-12, IT</w:t>
      </w:r>
    </w:p>
    <w:p>
      <w:r>
        <w:rPr>
          <w:b/>
        </w:rPr>
        <w:t xml:space="preserve">Quelle: </w:t>
      </w:r>
      <w:r>
        <w:t>https://mcp.opencaselaw.ch/entscheid/ti_gerichte_90.1998.36</w:t>
      </w:r>
    </w:p>
    <w:p>
      <w:r>
        <w:t>FR: TI_GERICHTE 90.1998.36 du 12 octobre 2001</w:t>
      </w:r>
    </w:p>
    <w:p>
      <w:r>
        <w:t>IT: TI_GERICHTE 90.1998.36 del 12 ottobre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della pianificazione 12.10.2001 90.1998.36 Tessin Tribunale della pianificazione 12.10.2001 90.1998.36 Ticino Tribunale della pianificazione 12.10.2001 90.1998.36</w:t>
      </w:r>
    </w:p>
    <w:p>
      <w:r>
        <w:t>Sentenza o decisione senza scheda</w:t>
      </w:r>
    </w:p>
    <w:p>
      <w:r>
        <w:t>Incarto n. 90.1998.00036 Lugano 12 ottobre 2001 In nome della Repubblica e Cantone del Ticino Il Tribunale della pianificazione del territorio composto dai giudici: Efrem Beretta, presidente, Lorenzo Anastasi, Raffaello Balerna vicecancelliere Stefano Furger statuendo sul ricorso del 26 gennaio 1998 di __________ __________ __________, __________ , rappr. da: avv. __________ __________, __________ __________ __________, contro la decisione __________ dicembre 1997 del Consiglio di Stato relativa all’approvazione del PR (revisione 1995) del comune di __________ rilevato che nel ricorso di seconda istanza la ricorrente chiede l’inserimento integrale dei mappali n. __________, __________, ______________________________, __________e __________RFD __________ nella zona edificabile, contrariamente alla decisione impugnata del Consiglio di Stato che chiedeva l’attribuzione alla zona edificabile dei mapp. n. __________e __________, soltanto per il computo degli indici, e l'attribuzione alla stessa zona dell'edificio posto sul mapp. n. __________; vista l’udienza del 13 maggio 1998 in cui è stata decisa la sospensione della procedura in attesa della variante che il comune si è impegnato ad elaborare; preso atto che la nuova variante di PR ha in parte recepito le censure ricorsuali, in particolare inserendo integralmente i mapp. n. __________e __________ in zona residenziale semi-intensiva; che con scritto 17 settembre 2001 il ricorrente chiede lo stralcio della vertenza, ritenuta conclusa in suo favore, e l’assegnazione di “congrua indennità a titolo di ripetibili”; considerato che il tribunale procede, d’ufficio o su richiesta di una parte, allo stralcio dei ricorsi che nel corso del procedimento diventano privi d'oggetto, rispettivamente d'interesse giuridico; che a norma dell’art. 31 LPAmm, applicabile in forza del richiamo dell’art. 38 cpv. 6 LALPT, il TPT condanna la parte soccombente al pagamento di un’indennità alla controparte; che soccombente è in linea di principio l’autorità che rivede nel senso postulato dal ricorrente la decisione impugnata (acquiescenza), che in concreto soccombente è il comune, che con la variante di PR ha in parte aderito alle domande ricorsuali; che venuto così meno l’interesse della vertenza questa va stralciata, con obbligo a carico del comune di __________ di corrispondere congrue ripetibili all’insorgente, assistito da un avvocato; che tutto considerato, visto la relativa complessità della materia del contendere e la conclusione della vertenza a uno stadio precoce del procedimento, un'indennità di fr. 1'500.-- pare adeguato; Per questi motivi, dichiara e pronuncia 1.   Il ricorso è stralciato dai ruoli . 2.   Non si prelevano spese né tasse di giudizio; il comune di __________ corrisponderà fr. 1'500.-- (millecinquecento) di ripetibili al ricorrente. 3.   Intimazione:         - avv. __________ __________, ____________________ - Municipio di __________ - Consiglio di Stato, Bellinzona - Sezione pianificazione urbanistica,                               Bellinzona Tribunale della pianificazione del territorio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