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90.1998.33 vom 30. April 2002</w:t>
      </w:r>
    </w:p>
    <w:p>
      <w:r>
        <w:t>TI Tribunale d'appello, 2002-04-30, IT</w:t>
      </w:r>
    </w:p>
    <w:p>
      <w:r>
        <w:rPr>
          <w:b/>
        </w:rPr>
        <w:t xml:space="preserve">Quelle: </w:t>
      </w:r>
      <w:r>
        <w:t>https://mcp.opencaselaw.ch/entscheid/ti_gerichte_90.1998.33</w:t>
      </w:r>
    </w:p>
    <w:p>
      <w:r>
        <w:t>FR: TI_GERICHTE 90.1998.33 du 30 avril 2002</w:t>
      </w:r>
    </w:p>
    <w:p>
      <w:r>
        <w:t>IT: TI_GERICHTE 90.1998.33 del 30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del comune di _________, giusta l'art. 38 cpv. 4 lett. a) LALPT, è pacifica. Presentato nei termini di legge, e quindi tempestivo, il ricorso è ricevibile in ordine.</w:t>
      </w:r>
    </w:p>
    <w:p>
      <w:r>
        <w:rPr>
          <w:b/>
        </w:rPr>
        <w:t>E. 2.1</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w:t>
      </w:r>
    </w:p>
    <w:p>
      <w:r>
        <w:rPr>
          <w:b/>
        </w:rPr>
        <w:t>E. 2.2</w:t>
      </w:r>
    </w:p>
    <w:p>
      <w:r>
        <w:t>Nella sua veste di autorità superiore di vigilanza esso veglia affinché la pianificazione comunale rispetti il diritto e segnatamente i principi pianificatori fondamentali enunciati dalla LPT, si conformi alla pianificazione cantonale, in particolare al PD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(DTF 111 Ia 70, consid. 3d). Così quando la soluzione può essere una sola, senza possibili alternative o, secondo la formulazione usata dal TF nella sentenza 26.4.1995 1P.__________ /__________in re comune di __________ “quando la nuova regolamentazione può essere determinata di primo acchito e quando la modifica tende a colmare una lacuna evidente o a emendare carenze o errori pianificatori manifesti" . Il diritto di essere sentito del comune e dei proprietari toccati dalla modifica dovrà comunque essere salvaguardato.</w:t>
      </w:r>
    </w:p>
    <w:p>
      <w:r>
        <w:rPr>
          <w:b/>
        </w:rPr>
        <w:t>E. 3</w:t>
      </w:r>
    </w:p>
    <w:p>
      <w:r>
        <w:t>lett. a) LPT, che prescrive alle autorità incaricate di compiti pianificatori di realizzare una rete viaria pubblica che permette di rendere sufficientemente accessibili i luoghi destinati all'abitazione e al lavoro. Questa imposizione è insita pure nell'obbligo, di cui all'art. 19 LPT, che prescrive ai comuni di provvedere ad un'adeguata urbanizzazione in funzione degli azzonamenti previsti.</w:t>
      </w:r>
    </w:p>
    <w:p>
      <w:r>
        <w:rPr>
          <w:b/>
        </w:rPr>
        <w:t>E. 4.1</w:t>
      </w:r>
    </w:p>
    <w:p>
      <w:r>
        <w:t>In concreto occorre stabilire se l'intervento operato d'ufficio dal Governo, che ha negato l'approvazione dell'ampliamento del calibro stradale della tratta che dal nucleo di _________ conduce a quello di _________, inserendola d'ufficio nella categoria "strada di servizio esistente", si giustifica alla luce dei principi suesposti. Punto centrale della vertenza è quindi la questione a sapere se l'ampliamento del calibro stradale della tratta in questione sia conforme alla LPT e alla LALPT e, in caso di risposta negativa, se l'assegnazione alla categoria "strada di servizio esistente" possa essere considerata come l'unica e ovvia soluzione, senza ragionevoli alternative, giustificando così la modifica operata d'ufficio dal Consiglio di Stato. Per rispondere al quesito occorre anzitutto rilevare che lo sviluppo insediativo del comune di _________, il cui territorio presenta un forte dislivello, è organizzato essenzialmente attorno ai quattro nuclei principali di __________, __________, __________ e _________, posti ad una quota media di 700 mslm. Più a valle, in posizione discosta rispetto a questi aggregati, sorge, a pochi metri dal lago di __________, il piccolo nucleo secondario di _________, in prossimità del quale è pure situato l'impianto comunale di depurazione delle acque. I nuclei principali di __________, __________, __________ e _________ sono connessi orizzontalmente da strade di collegamento, lungo le quali è sorta l'edificazione più recente, mentre, per quanto attiene al nucleo di _________, esso è raggiungibile da una strada dal calibro irregolare, lunga di ca. 1.3 km, che scende a curve dal nucleo di _________. Da notare che, dal profilo degli insediamenti, la revisione riprende in sostanza l'impostazione alla base del vecchio PR, che prevedeva una trama edificabile volta a completare esclusivamente gli spazi liberi all'interno del perimetro delimitato dai quattro nuclei principali (cfr. Relazione di pianificazione, aprile 1997, p. 3 e p.13 e ss).</w:t>
      </w:r>
    </w:p>
    <w:p>
      <w:r>
        <w:rPr>
          <w:b/>
        </w:rPr>
        <w:t>E. 4.2</w:t>
      </w:r>
    </w:p>
    <w:p>
      <w:r>
        <w:t>In merito alla pianificazione delle strade di servizio, la Relazione di pianificazione, p. 18, adduce: "Le strade di servizio si dipartono dalla strada cantonale e penetrano verso i diversi Nuclei insediativi. Qualche discussione è sorta in merito alla strada di servizio che discendendo da _________ raggiunge l'impianto di depurazione. Il dubbio è stato sollevato dal Dipartimento del territorio (in sede di esame preliminare, n.d.r.) in merito alla necessità o meno di allargare la strada a m 4.00. Senza ombra di dubbio, in relazione alla necessità di accedere alla Stazione di depurazione è necessario intervenire in alcuni punti della strada che presentano problemi geometrici, curve, scambi ecc. La sezione ipotizzata deve essere interpretata come misura ideale ed è comunque intenzione del Municipio apportare quelle modifiche a dipendenza delle necessità e degli accordi diretti con i proprietari. In tal senso la svolta a _________ è un intervento stradale importante che andrà realizzato quanto prima e possibilmente in concomitanza con l'adiacente posteggio (…)" . Da queste motivazioni traspare che lo scopo principale dell'attribuzione alla categoria "strada di servizio" della tratta in questione non risiede nella necessità di completare la rete viaria del comune, segnatamente di migliorare l'accesso al nucleo di _________ tramite un potenziamento del suo collegamento al nucleo di _________. E a ragione. Infatti l'azzonamento previsto dal PR per il nucleo di _________, retto da una disciplina di tipo conservativo (cfr. 31 NAPR), preclude nel futuro un suo sviluppo edilizio ed una sua espansione. Dal profilo dell'urbanizzazione la strada che serve la zona risulta adeguata, in quanto riservata ad un numero limitato di veicoli e destinata a svolgere anche in futuro la sua funzione attuale.</w:t>
      </w:r>
    </w:p>
    <w:p>
      <w:r>
        <w:rPr>
          <w:b/>
        </w:rPr>
        <w:t>E. 4.3</w:t>
      </w:r>
    </w:p>
    <w:p>
      <w:r>
        <w:t>Come addotto nella Relazione di pianificazione, tramite il contestato provvedimento, il comune ha inteso soprattutto riservarsi la possibilità di eseguire interventi puntuali di correzione della carreggiata per migliorare il transito dei mezzi mediamente pesanti diretti e provenienti dall'impianto di depurazione. Come addotto nel ricorso, "(…) è bene non dimenticare che una siffatta infrastruttura necessita di regolari lavori di spurgo e di manutenzione, per cui è necessario garantire l'accesso con veicoli mediamente pesanti. (…) La scelta in concreto operata dalle Autorità comunali di _________ è dettata da motivazioni in tutto e per tutto obiettive e ragionate e permetterà di effettuare, di mano in mano e seguendo le procedure imposte dalla Legge sulle strade, tutti quegli interventi puntuali che si riveleranno indispensabili (in particolare quelli dovuti all'insufficienza geometrica di tutti i tornanti, ma non solo) per le esigenze di servizio" . Orbene, in simili circostanze, se l'intenzione del comune di allargare puntualmente il campo stradale per permettere l'abolizione dei disagi causati al traffico nell'ambito dei controlli e dei lavori di manutenzione dell'impianto di depurazione, può corrispondere ad un interesse pubblico sufficiente, il previsto allargamento del calibro stradale, esteso a tutta la tratta in questione, risulta palesemente lesivo del principio della proporzionalità. Il medesimo scopo può infatti essere raggiunto con una misura meno incisiva e gravosa, quale l'adozione di singoli vincoli, che riservino le aree strettamente necessarie agli allargamenti stradali. Alla luce di quanto sinora esposto, la modifica operata dal Governo, che ha inserito d'ufficio la tratta in questione nella categoria  "strada di servizio esistente" senza modifica del calibro stradale, merita quindi di venir tutelata.</w:t>
      </w:r>
    </w:p>
    <w:p>
      <w:r>
        <w:rPr>
          <w:b/>
        </w:rPr>
        <w:t>E. 5</w:t>
      </w:r>
    </w:p>
    <w:p>
      <w:r>
        <w:t>Per tutti questi motivi il ricorso è respinto. Le spese e la tassa di giudizio seguono la soccombenza. Tuttavia, poiché il comune è comparso in causa senza successo per motivi attinenti alla sua funzione e non per tutelare i suoi particolari interessi, si prescinde dal prelievo di spese e tassa di giudizio.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