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90.1998.27 vom 9. Dezember 1998</w:t>
      </w:r>
    </w:p>
    <w:p>
      <w:r>
        <w:t>TI Tribunale d'appello, 1998-12-09, IT</w:t>
      </w:r>
    </w:p>
    <w:p>
      <w:r>
        <w:rPr>
          <w:b/>
        </w:rPr>
        <w:t xml:space="preserve">Quelle: </w:t>
      </w:r>
      <w:r>
        <w:t>https://mcp.opencaselaw.ch/entscheid/ti_gerichte_90.1998.27</w:t>
      </w:r>
    </w:p>
    <w:p>
      <w:r>
        <w:t>FR: TI_GERICHTE 90.1998.27 du 9 décembre 1998</w:t>
      </w:r>
    </w:p>
    <w:p>
      <w:r>
        <w:t>IT: TI_GERICHTE 90.1998.27 del 9 dicembre 1998</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e dal rimando contenuto nell'art. 51 della nuova Legge sulla protezione dei beni culturali, entrata in vigore il 1° novembre 1997.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dell'avv. Pozzi, già insorto in prima sede, per gli stessi motivi, giusta l’art. 35 LALPT, è pacifica (art. 38 cpv. 4 lett. b) LALPT). Presentato nei termini di legge, e quindi tempestivo, il ricorso è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 consid. 2a; Alfred Kuttler, Zum Schutz der Gemeindeautonomie in der neueren bundesgerichtlichen Rechtsprechung, Rep. 1991, pag. 45 e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3.1</w:t>
      </w:r>
    </w:p>
    <w:p>
      <w:r>
        <w:t>La tutela dei monumenti, in quanto aspetto della protezione del paesaggio, è principalmente di competenza cantonale (art. 24 sexies cpv. 1 Cost.). Spetta infatti in primo luogo ai cantoni stabilire quali sono gli oggetti meritevoli di protezione (DTF 118 Ia 388, DTF 115 Ia 30). La Confederazione è tenuta tuttavia, nell’adempimento dei propri compiti, a provvedere affinché le caratteristiche del paesaggio, l’aspetto degli abitati, i luoghi storici, come anche le rarità naturali e i monumenti culturali siano rispettati e conservati intatti quando vi sia un interesse generale preponderante (art 24 sexies cpv. 2 Cost., art. 3 cpv. 1 LPN). Giusta l’art. 5 LPN, per esempio, il Consiglio federale, sentiti i Cantoni, compila gli inventari degli oggetti d’importanza nazionale, quale, nell’ambito della protezione dei monumenti, l’ISOS, “Inventario degli insediamenti svizzeri da proteggere”. Da rilevare che tra tutela dei monumenti e pianificazione del territorio esiste un rapporto molto stretto. Infatti l’art. 1 cpv. 2 lett. a) e l’art 3 cpv. 2 LPT stabiliscono che Confederazione, Cantoni e comuni, in qualità di autorità preposte alla pianificazione, devono provvedere affinché il paesaggio venga rispettato e protetto. L’art 17 cpv. 1 lett. c della medesima legge prevede espressamente che i siti caratteristici, i luoghi storici e i monumenti naturali e culturali devono venir assegnati alle zone protette.</w:t>
      </w:r>
    </w:p>
    <w:p>
      <w:r>
        <w:rPr>
          <w:b/>
        </w:rPr>
        <w:t>E. 3.2</w:t>
      </w:r>
    </w:p>
    <w:p>
      <w:r>
        <w:t>A livello cantonale il 1° novembre 1997 è entrata in vigore la nuova Legge sulla protezione dei beni culturali, in seguito LBC, che ha sostituito la Legge per la protezione dei monumenti storici ed artistici del 15 aprile 1946. Quest'ultima, resa ormai desueta dall'affermarsi di una nozione di cultura più aperta e dinamica, codificava "...una protezione di carattere celebrativo e autoritario, volta soprattutto ad esaltare la patria attraverso il genio artistico nazionale o cantonale, che si prefiggeva di difendere con strumenti coercitivi solo le espressione più alte della cultura d'élite: quelle testimonianze qualificate dalla bellezza, dalla preziosità o dall'antichità. Al centro di questa politica stava appunto il concetto di "monumento", isolato dentro una torre d'avorio protetta da imposizioni restrittive che si riassumono nel termine di "vincolo monumentale" e nella consacrazione dell'iscrizione in un elenco fatto di singoli oggetti o frammenti di oggetti che, pur formando il patrimonio collettivo, restavano piuttosto lontani dal sentire della gente" (cfr. Messaggio conc. il disegno di legge sulla protezione dei beni culturali del 14 marzo 1995, p.to 4.1). La nuova legge è invece improntata su una nozione più moderna di cultura, intesa come l'insieme di tutti quei valori, usi e costumi che caratterizzano il vivere sociale di un popolo. In parallelo all'evoluzione di questa nozione, il termine di "monumento storico" è stato sostituito con quello di "bene culturale" inteso appunto quale prodotto dell'attività culturale in senso lato. I principi di base che ispirano la nuova legge possono essere così riassunti: la protezione del patrimonio culturale è compito comune del proprietario e dell'ente pubblico (cfr. art. 5 LBC); sono suscettibili di protezione sia i beni culturali immobili che quelli mobili (cfr. art.li 2, 20, 21 LBC); la protezione dei beni culturali immobili è concepita come "protezione integrata" da attuare nel contesto della pianificazione del territorio (cfr. art. 20 LBC); la protezione dei beni culturali mobili è affidata principalmente alle istituzioni culturali riconosciute (cfr. art.li 4 e 21 LBC).</w:t>
      </w:r>
    </w:p>
    <w:p>
      <w:r>
        <w:rPr>
          <w:b/>
        </w:rPr>
        <w:t>E. 3.3</w:t>
      </w:r>
    </w:p>
    <w:p>
      <w:r>
        <w:t>L'art. 2 LBC definisce la nozione di bene culturale, la quale poggia, come già anticipato, su un concetto dinamico e aperto di cultura, intesa come il sistema di valori e costumi che caratterizzano il vivere di una collettività. Può quindi venir definito bene culturale, che riveste importanza per la collettività, un oggetto non solo d'interesse storico o artistico, ma anche religioso, archeologico, architettonico, urbanistico, etnografico, archivistico, bibliografico, numismatico ecc.. Fra i beni suscettibili di protezione trovano posto gli immobili , ossia le costruzioni, i manufatti, le rovine, le parti costitutive o accessorie di costruzione, le zone archeologiche, ecc., così come i beni mobili , definiti secondo l'art. 713 CC come oggetti che possono essere trasferiti senza alternarne la sostanza. Fra questi ad esempio dipinti, documenti d'ogni genere, libri, reperti, oggetti di culto o d'arredo, utensili. Secondo l'art. 3 LBC sono beni culturali protetti quelli che beneficiano di protezione pubblica ai sensi della legge. La legge distingue tra gli immobili quelli d'interesse cantonale da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Per i beni mobili la differenziazione è tra quelli appartenenti alle istituzioni culturali riconosciute di cui all'art. 4, protetti per legge (art. 21 cpv. 1 LBC) e quelli protetti per decisione cantonale, sia che appartengano a privati, sia che appartengano ad enti pubblici (art. 19 e 21 cpv. 2 LBC). La ragione dei predetti distinguo sta nel trattamento in parte differenziato che la legge riserva a ciascuna delle categorie dei beni protetti (cfr. art.li 20 ss. LBC).</w:t>
      </w:r>
    </w:p>
    <w:p>
      <w:r>
        <w:rPr>
          <w:b/>
        </w:rPr>
        <w:t>E. 3.4</w:t>
      </w:r>
    </w:p>
    <w:p>
      <w:r>
        <w:t>Gli art.li 19 ss. LBC si occupano dell'istituzione e degli effetti della protezione: come per qualsiasi altra restrizione della garanzia della proprietà (art. 22 ter Cost) che oltre a fondarsi su una base legale sufficiente e rispettare il principio della proporzionalità dev'essere giustificata da motivi di interesse pubblico (G. Müller, Commentaire de la Cost. féd., art. 22 ter, n° 16), secondo l'art. 19 cpv. 1 LBC l'istituzione della protezione presuppone che l'interesse pubblico , cantonale o locale, alla conservazione ed alla valorizzazione dell'oggetto in quanto testimonianza culturale prevalga rispetto ad altri interessi. A tale proposito occorre anzitutto ricordare che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del la Cost. féd., art. 22ter n. 34). Tale interesse deve prevalere sui contrapposti interessi pubblici e privati in giuoco. Nell'ambito della protezione dei beni culturali l'interesse pubblico potrà quindi corrispondere a l significato e all'importanza che l'oggetto, preso nel suo contesto, riveste per la collettività in quanto luogo o frammento della memoria collettiva . L'interesse pubblico alla conservazione presuppone insomma che si tratti di beni nei quali la collettività si identifichi e vi riconosca i propri valori essenziali, al punto da dover essere tramandati alle generazioni a venire (cfr. Messaggio conc. il disegno di legge sulla protezione dei beni culturali del 14 marzo 1995, p.to. 6, ad art. 19). La legge affida alla Commissione dei beni culturali (cfr. in particolare art.li 20 e 45 LBC) il compito di farsi di volta in volta interprete della sensibilità culturale della collettività e di individuare quell'interesse pubblico che giustifica la protezione di un bene, e questo onde garantire che la designazione degli oggetti meritevoli di protezione venga effettuata sulla base di criteri fondati e oggettivi, tutelando quelle opere che ne sono realmente meritevoli. Per quanto concerne la protezione dei beni immobili , giusta l'art. 20 LBC l'istituzione della tutela si inserisce nella procedura di adozione o modifica del PR o del piano di utilizzazione cantonale: la legge impone infatti una precisa individuazione e descrizione di ogni singolo oggetto (art. 28 cpv. 2 lett. i LALPT). Spetterà quindi anzitutto al Municipio sottoporre, in fase d'elaborazione del piano, ai servizi cantonali la sua proposta relativa ai beni immobili d'interesse culturale. La Commissione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w:t>
      </w:r>
    </w:p>
    <w:p>
      <w:r>
        <w:rPr>
          <w:b/>
        </w:rPr>
        <w:t>E. 3.5</w:t>
      </w:r>
    </w:p>
    <w:p>
      <w:r>
        <w:t>Nel caso che ci occupa il ricorrente censura anzitutto la mancata menzione nel piano del paesaggio dei beni culturali immobili d'importanza cantonale. Orbene alla luce di un attento esame la censura non trova riscontro negli atti acquisiti all'incarto: i beni elencati all'art. 6 NAPR trovano infatti corrispondenza nel piano del paesaggio, che indica con un triangolo rosso a _________  la cappella affrescata, in Via _________  il portale bugnato con stemma e in Via __________ gli affreschi, la caminiera e le decorazione, quest'ultimi inseriti d'ufficio nel piano dal Consiglio di Stato in fase di approvazione della revisione. Per quanto concerne invece l'elenco dei beni culturali d'importanza locale, che il ricorrente ritiene incompleto poiché non include l'affresco "Giuramento _________ " sulla casa __________ __________, la Cappella __________ __________ __________, la Cappellina __________ __________ __________ __________ e quella in Via __________, va premesso anzitutto che, come si apprende dall'opera "Arte a _________: il patrimonio pubblico nel Comune", il Comune possiede sul suo territorio un patrimonio ricco di testimonianze storiche e artistiche. Poiché l'istituzione della protezione giusta l'art. 19 cpv. 1 LBC presuppone che l'interesse pubblico alla conservazione ed alla valorizzazione di determinati oggetti prevalga rispetto ad altri interessi, nell'individuazione di quei beni che rivestono un significato tale per la collettività da meritare di venir protetti va riconosciuto al comune un certo margine d'apprezzamento, facoltà questa che comprende sia il diritto di scegliere tra più soluzioni adeguate quella ritenuta più opportuna, sia la possibilità di stabilire i criteri di riferimento su cui basare il proprio giudizio. Orbene, proprio sotto questo profilo le scelte effettuate dal Comune di _________ nell'allestimento dell'elenco dei beni d'importanza locale non meritano di venir disattese. Infatti, pur ammettendo che il concetto di bene culturale alla base della nuova legge permette la tutela di quelle presenze culturali e artistiche che appaiono "minori" se misurate con i canoni classici, ma che non per questo sono prive di importanza anche notevole sotto altre angolazioni, dagli atti non emergono elementi che permettano a questo Tribunale di rimproverare al Comune scelte inopportune o dimenticanze palesi, né tanto meno motivi imperanti a suffragio della necessità di porre sotto tutela opere non contemplate dall'elenco. Inoltre la stessa Commissione dei beni culturali - organo preposto dalla legge a farsi di volta in volta portavoce della sensibilità culturale della collettività e ad individuare l'interesse pubblico che giustifica la protezione di un bene - non ha lamentato nel proprio preavviso la mancanza delle testimonianze segnalate dal ricorrente. In considerazione di quanto sinora esposto questo Tribunale non intravede motivi per rimproverare al Consiglio di Stato di essersi astenuto dall'intervenire e dall'imporre al Comune la tutela dei beni indicati dal ricorrente. Per tutti questi motivi la decisione qui impugnata, immune da violazioni di diritto, merita di venir tutelata.</w:t>
      </w:r>
    </w:p>
    <w:p>
      <w:r>
        <w:rPr>
          <w:b/>
        </w:rPr>
        <w:t>E. 4</w:t>
      </w:r>
    </w:p>
    <w:p>
      <w:r>
        <w:t>Vista la particolarità della vertenza e in considerazione del fatto che l'insorgente non è insorto a tutela dei suoi interessi, bensì a difesa di importanti interessi ideali, si prescinde dal prelievo di spese e tassa di giudizio.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