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90.1998.26 vom 1. April 1999</w:t>
      </w:r>
    </w:p>
    <w:p>
      <w:r>
        <w:t>TI Tribunale d'appello, 1999-04-01, IT</w:t>
      </w:r>
    </w:p>
    <w:p>
      <w:r>
        <w:rPr>
          <w:b/>
        </w:rPr>
        <w:t xml:space="preserve">Quelle: </w:t>
      </w:r>
      <w:r>
        <w:t>https://mcp.opencaselaw.ch/entscheid/ti_gerichte_90.1998.26</w:t>
      </w:r>
    </w:p>
    <w:p>
      <w:r>
        <w:t>FR: TI_GERICHTE 90.1998.26 du 1 avril 1999</w:t>
      </w:r>
    </w:p>
    <w:p>
      <w:r>
        <w:t>IT: TI_GERICHTE 90.1998.26 del 1 aprile 1999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della pianificazione 01.04.1999 90.1998.26 Tessin Tribunale della pianificazione 01.04.1999 90.1998.26 Ticino Tribunale della pianificazione 01.04.1999 90.1998.26</w:t>
      </w:r>
    </w:p>
    <w:p>
      <w:r>
        <w:t>Sentenza o decisione senza scheda</w:t>
      </w:r>
    </w:p>
    <w:p>
      <w:r>
        <w:t>Incarto n. 90.98.00026 Lugano 1 aprile 1999 In nome della Repubblica e Cantone del Ticino Il Tribunale della pianificazione del territorio composto dai giudici: Efrem Beretta, presidente, Giovanna Roggero-Will, Michele Rusca vicecancelliera Matea Pessina statuendo sul ricorso del 21 gennaio 1998 di __________ __________, __________ __________, rappr. da: avv. __________ __________, __________ __________, contro la risoluzione __________ dicembre 1997 (n° __________) del Consiglio di Stato, che approva la revisione 1995 del PR di __________ e il PP del nucleo tradizionale di __________ (PP-__________) viste le osservazioni 1° aprile 1998 del Consiglio di Stato e 29 aprile 1998 del Municipio di __________; letti ed esaminati gli atti; r i t e n u t o in fatto e in diritto -   che il Consiglio comunale di __________ ha deciso nelle sedute del 1° e 2 aprile e del 25 luglio 1996 la revisione del PR e l'adozione del PP-__________. La pubblicazione è avvenuta dal 16 settembre al 15 ottobre 1996; -   che con ris. gov. __________ dicembre 1997, n° __________, il Consiglio di Stato ha approvato entrambi gli atti pianificatori e deciso i ricorsi; -   che il PP-__________ prevede la creazione di un giardino attorno all'oratorio di __________. __________ e destina a questo scopo parte del mapp. n° __________RFD; -   che nel periodo di pubblicazione e fino al __________marzo 1997, data della sua morte, il fondo apparteneva alla signora __________ __________, che ha lasciato quale unico erede testamentario il fratello, qui ricorrente; -   che il signor __________, entrato in possesso dell'eredità, conosciuta la risoluzione di approvazione del PR e appresa l'esistenza del vincolo a carico del fondo ormai di sua proprietà, ha presentato il 31 dicembre 1997 al Consiglio di Stato un'istanza di restituzione del termine di ricorso contro il piano, istanza respinta il 1° aprile 1998 dal Consiglio di Stato, l'11 maggio 1998 dallo statuente Tribunale e il 18 febbraio 1999 dall'alta Corte federale; -   che, senza attendere l'evasione della predetta istanza, il signor __________ ha presentato il 31 dicembre 1997 un ricorso al Consiglio di Stato contro la pubblicazione del nuovo PR e il 21 gennaio 1998 un ricorso al TPT, con cui chiede in via principale l'accoglimento del ricorso contro la pronuncianda decisione del Consiglio di Stato e in via subordinata l'accoglimento del ricorso contro la ris. gov. __________dicembre 1997; -   che il sistema di protezione giuridica previsto dalla LALPT prevede due gradi di controllo: secondo l'art. 35 cpv. 1 LALPT contro il contenuto del piano è dato ricorso al Consiglio di Stato e contro le decisioni di quest'ultimo è dato ricorso al Tribunale della pianificazione del territorio entro trenta giorni dalla notificazione (art. 38 cpv. 1 LALPT); -   che il presente ricorso, presentato prima dell'evasione definitiva dell'istanza di restituzione dei termini di ricorso e prima dell'eventuale emanazione della decisione di merito da parte del Consiglio di Stato, e quindi senza conoscerne né le motivazioni né le conclusioni, risulta improponibile in quanto prematuro; -   che viste le richieste contenute nel gravame nemmeno si può ipotizzare che l'atto sia stato inviato per errore all'istanza sbagliata (cfr. art. 4 LPAmm); -   che infine e a maggior ragione, visto l'esito negativo dell'istanza di restituzione dei termini, il ricorso dev'essere dichiarato irricevibile; -   che le spese, la tassa di giudizio nonché le ripetibili seguono la soccombenza. Per questi motivi, visti gli articoli di legge applicabile alla fattispecie, dichiara e pronuncia 1.   Il ricorso è irricevibile . 2.   Il ricorrente è condannato al pagamento delle spese e delle tasse di giudizio per complessivi fr. 300.-- (trecento). 3.   Intimazione:         - avv. __________ __________, __________ - Municipio di __________ - Consiglio di Stato, Bellinzona - Sezione pianificazione urbanistica,                        Bellinzona Tribunale della pianificazione del territorio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