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 vom 22. September 1998</w:t>
      </w:r>
    </w:p>
    <w:p>
      <w:r>
        <w:t>TI Tribunale d'appello, 1998-09-22, IT</w:t>
      </w:r>
    </w:p>
    <w:p>
      <w:r>
        <w:rPr>
          <w:b/>
        </w:rPr>
        <w:t xml:space="preserve">Quelle: </w:t>
      </w:r>
      <w:r>
        <w:t>https://mcp.opencaselaw.ch/entscheid/ti_gerichte_90.1998.1</w:t>
      </w:r>
    </w:p>
    <w:p>
      <w:r>
        <w:t>FR: TI_GERICHTE 90.1998.1 du 22 septembre 1998</w:t>
      </w:r>
    </w:p>
    <w:p>
      <w:r>
        <w:t>IT: TI_GERICHTE 90.1998.1 del 22 settembre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signor __________, già insorto in prima sede, per gli stessi motivi, giusta l’art. 35 LALPT, è pacifica (art.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Piano direttore (art. 21 cpv. 1 LPT).</w:t>
      </w:r>
    </w:p>
    <w:p>
      <w:r>
        <w:rPr>
          <w:b/>
        </w:rPr>
        <w:t>E. 4.1</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4.2</w:t>
      </w:r>
    </w:p>
    <w:p>
      <w:r>
        <w:t>La base legale del vincolo all’esame è già data nel diritto federale, segnatamente dall’art. 3, cpv. 3, lett. c LPT (che prescrive alle autorità incaricate di compiti pianificatori di mantenere e costituire vie ciclabili e pedonali) e dalla legge sui percorsi pedonali ed i sentieri del 4 ottobre 1985. A livello cantonale giova ricordare che, ai sensi dell’art. 26 LALPT, un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Quest’ultimo disposto abilita incontestabilmente i comuni a prevedere percorsi pedonali quale quello in contestazione.</w:t>
      </w:r>
    </w:p>
    <w:p>
      <w:r>
        <w:rPr>
          <w:b/>
        </w:rPr>
        <w:t>E. 4.3</w:t>
      </w:r>
    </w:p>
    <w:p>
      <w:r>
        <w:t>Il merito all’esistenza di un sufficiente interesse pubblico è necessario anzitutto osservare che nelle aree verdi limitrofe all’agglomerato luganese, percorsi pedonali e sentieri rispondono al desiderio e alle necessità di svago e distensione di moltissime persone. In simile circostanze il vincolo concretizza precisi indirizzi pianificatori di cui nelle legislazioni federale e cantonale. In particolare il vincolo in questione si inserisce nell'obiettivo di riqualifica del nucleo di __________ perseguito con il PP: oltre alla valorizzazione del nucleo quale polo di quartiere, alla sua ricomposizione spaziale e architettonica, alla definizione di una cornice inedificata di immediato contorno ed alla pedonalizzazione di __________.__________ __________, il PP prevede anche la ricucitura della rete dei percorsi pedonali che vi fanno capo (cfr. art. 1 NAPP e Rapporto di pianificazione, p. 2). La pubblica utilità dell'opera contestata è tanto più evidente se correlata agli altri contenuti di carattere pubblico che insistono sull'area di __________, dove oltre a due aree di svago e di gioco nonché al giardino pubblico fra Via __________ e Via __________, è prevista la realizzazione di una scuola per l'infanzia.</w:t>
      </w:r>
    </w:p>
    <w:p>
      <w:r>
        <w:rPr>
          <w:b/>
        </w:rPr>
        <w:t>E. 4.4</w:t>
      </w:r>
    </w:p>
    <w:p>
      <w:r>
        <w:t>Al cospetto di un interesse pubblico preponderante, occorre ancora analizzare l'ulteriore censura avanzata dal ricorrente, ovverosia la conformità al principio della proporzionalità, segnatamente se il vincolo adottato è il meno incisivo fra quelli possibili, è idoneo a conseguire lo scopo di interesse pubblico prefisso e se sussiste un rapporto ragionevole tra il risultato da raggiungere e le restrizioni della proprietà necessarie al suo conseguimento (DTF 111 Ia 98, 113 Ia 137). Idoneo a conseguire lo scopo di interesse pubblico prefisso il vincolo in contestazione lo è senz’altro. Forma in effetti parte integrante della rete di sentieri prevista dal piano viario di __________. Gli altri aspetti del principio della proporzionalità sono in definitiva connessi a scelte di tracciato. Al riguardo si può osservare quanto segue: il sopralluogo esperito da questo Tribunale ha permesso di constatare che il fondo del signor __________ è composto da una parte abbastanza pianeggiante, posta a ridosso del nucleo di __________ __________o, dove sorgono la sua casa d'abitazione e il garage, e da un parte più scoscesa, formata dal giardino, che termina verso Via __________ con un muro di contenimento. Il tracciato del sentiero previsto insiste completamente sul tratto pianeggiante della proprietà costeggiando il confine con il fondo al mapp. n° __________RFD. Orbene, durante il sopralluogo si é potuto parimenti appurare come il rilevo e la morfologia del fondo del signor __________ permette di ipotizzare, senza molti inconvenienti e senza che il sentiero perda d'attrattività, alternative di tracciato che diminuiscono sensibilmente il pregiudizio e i disturbi arrecati al proprietario. Basti pensare alla possibilità di spostare a valle il tracciato del sentiero per poi farlo risalire lungo il confine con il mapp. n° __________RFD, tracciato questo che, seppur parzialmente in salita, non renderebbe difficoltosa l'agibilità agli utenti. Alla luce di queste considerazioni la soluzione adottata dal Comune, che comporta, oltre alla demolizione del garage del ricorrente, la separazione della casa d'abitazione dal giardino con conseguente disturbo causato dai gitanti e perdita di una certa intimità per la sua famiglia, appare lesiva del principio della proporzionalità e non poteva venir approvata dal Consiglio di Stato senza violare il diritto federale.</w:t>
      </w:r>
    </w:p>
    <w:p>
      <w:r>
        <w:rPr>
          <w:b/>
        </w:rPr>
        <w:t>E. 5</w:t>
      </w:r>
    </w:p>
    <w:p>
      <w:r>
        <w:t>.   Le spese e le tasse di giudizio seguono la soccombenza. Tuttavia,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