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90.1997.7 vom 21. Juli 1997</w:t>
      </w:r>
    </w:p>
    <w:p>
      <w:r>
        <w:t>TI Tribunale d'appello, 1997-07-21, IT</w:t>
      </w:r>
    </w:p>
    <w:p>
      <w:r>
        <w:rPr>
          <w:b/>
        </w:rPr>
        <w:t xml:space="preserve">Quelle: </w:t>
      </w:r>
      <w:r>
        <w:t>https://mcp.opencaselaw.ch/entscheid/ti_gerichte_90.1997.7</w:t>
      </w:r>
    </w:p>
    <w:p>
      <w:r>
        <w:t>FR: TI_GERICHTE 90.1997.7 du 21 juillet 1997</w:t>
      </w:r>
    </w:p>
    <w:p>
      <w:r>
        <w:t>IT: TI_GERICHTE 90.1997.7 del 21 luglio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il ricorso, intimato nel termine di 30 giorni di cui all’art. 38 LALPT, é tempestivo. La legittimazione ricorsuale è data a norma dell’art. 38 cpv. 4 lett. c LALPT.</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 giugno 1995 in re Comune di __________, 116 Ia 226 seg. consid. 2a; Alfred Kuttler, Zum Schutz der Gemeindeautonomie in der neueren bundesgerichtlichen Rechtsprechung, in Rep. 1991 , pag. 45 seg., in part. 55)</w:t>
      </w:r>
    </w:p>
    <w:p>
      <w:r>
        <w:rPr>
          <w:b/>
        </w:rPr>
        <w:t>E. 3</w:t>
      </w:r>
    </w:p>
    <w:p>
      <w:r>
        <w:t>.   Oggetto del contendere é la mancata approvazione del Consiglio di Stato della variante di PR che istituisce una zona residenziale R2 sul comparto a ovest del nucleo formato dai f.n. __________,__________,__________,__________e __________RFP (questi numeri di fondo non corrispondono più agli attuali essendo nel frattempo incorso il raggruppamento terreni). L’autorità governativa, pur non opponendosi all’inserimento del comparto nel perimetro edificabile (si trattava precedentemente di una “zona senza destinazione specifica”), ha deciso di rinviare gli atti al Comune affinché provvedesse a regolamentare la sua futura edificazione tramite un PP o un PQ, e questo in considerazione della particolare conformazione del territorio che circonda il nucleo di __________. Dalle risultanze del sopralluogo é tuttavia emerso che la misura chiesta dal Consiglio di Stato era eccessiva; il suo rappresentante ha infatti espressamente riconosciuto che per la tutela del valore storico e paesaggistico del nucleo basta sottoporre a regolamentazione particolare tramite un PQ (o un PP) unicamente le due particelle a diretto confine con il nucleo, vale a dire le part. n. __________e __________RFP. Le altre particelle del comparto (n. __________, __________ e __________) non necessitano invece di restrizioni particolari, dal momento che la loro posizione più discosta dal nucleo e il fatto di trovarsi ad una quota nettamente inferiore, escludono già di per sé ogni inconveniente in caso di loro edificazione; i parametri “normali” previsti per la zona estensiva R2 sono quindi sufficienti. Questo vale a maggior ragione per la proprietà della sig.ra __________ -__________: situata una decina di metri a valle della stradina d’accesso alla villa __________ __________ (f.n. __________RFP), risulta praticamente allo stesso livello della confinante abitazione dell’insorgente, ed anche una sua eventuale edificazione non potrà interferire in nessun modo sulla vista verso il nucleo.</w:t>
      </w:r>
    </w:p>
    <w:p>
      <w:r>
        <w:rPr>
          <w:b/>
        </w:rPr>
        <w:t>E. 4</w:t>
      </w:r>
    </w:p>
    <w:p>
      <w:r>
        <w:t>.   Alla luce delle predette considerazioni, il ricorso deve essere accolto; la decisione 23 dicembre 1996 del Consiglio di Stato é modificata al pto. 3.4.2.1. nel senso che i mapp. n. __________, __________e __________RFP vengono stralciati dall’area soggetta a PQ o PP.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