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90.1997.56 vom 27. Oktober 1997</w:t>
      </w:r>
    </w:p>
    <w:p>
      <w:r>
        <w:t>TI Tribunale d'appello, 1997-10-27, IT</w:t>
      </w:r>
    </w:p>
    <w:p>
      <w:r>
        <w:rPr>
          <w:b/>
        </w:rPr>
        <w:t xml:space="preserve">Quelle: </w:t>
      </w:r>
      <w:r>
        <w:t>https://mcp.opencaselaw.ch/entscheid/ti_gerichte_90.1997.56</w:t>
      </w:r>
    </w:p>
    <w:p>
      <w:r>
        <w:t>FR: TI_GERICHTE 90.1997.56 du 27 octobre 1997</w:t>
      </w:r>
    </w:p>
    <w:p>
      <w:r>
        <w:t>IT: TI_GERICHTE 90.1997.56 del 27 ottobre 1997</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w:t>
      </w:r>
    </w:p>
    <w:p>
      <w:r>
        <w:rPr>
          <w:b/>
        </w:rPr>
        <w:t>E. 4</w:t>
      </w:r>
    </w:p>
    <w:p>
      <w:r>
        <w:t>lett. c). In concreto la legittimazione attiva del ricorrente è senz’altro data a norma dell’art. 38 cpv. 4 lett. b) e c) LALPT. Presentato nei termini di legge, e quindi tempestivo, il ricorso é ricevibile in ordine. 2 .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Alla luce di queste considerazioni il ricorso é accolto. Il f.n. __________viene quindi inserito nella zona residenziale soggetta a piano particolareggiato RPP. Vengono parimenti ripristinati i parametri di altezza massima di 7,50 metri, di SUL massima di 800 mq e di allineamento obbligatorio previsto sul ciglio del pianoro. Per questi motivi, viste le normative alla fattispecie applicabili; dichiara e pronuncia 1.   Il ricorso é accolto nel senso dei considerandi . 2.   Non si prelevano né tasse né spese. il Cantone rifonderà a __________ __________, assistito da un avvocato, fr. 600.-- (seicento) a titolo di ripetibili. 3.   Intimazione:                  - Avv. __________. __________. __________, __________ - Municipio di __________ - Consiglio di Stato, _________ - Sezione pianificazione urbanistica,                                                             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