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90.1997.4 vom 21. Juli 1997</w:t>
      </w:r>
    </w:p>
    <w:p>
      <w:r>
        <w:t>TI Tribunale d'appello, 1997-07-21, IT</w:t>
      </w:r>
    </w:p>
    <w:p>
      <w:r>
        <w:rPr>
          <w:b/>
        </w:rPr>
        <w:t xml:space="preserve">Quelle: </w:t>
      </w:r>
      <w:r>
        <w:t>https://mcp.opencaselaw.ch/entscheid/ti_gerichte_90.1997.4</w:t>
      </w:r>
    </w:p>
    <w:p>
      <w:r>
        <w:t>FR: TI_GERICHTE 90.1997.4 du 21 juillet 1997</w:t>
      </w:r>
    </w:p>
    <w:p>
      <w:r>
        <w:t>IT: TI_GERICHTE 90.1997.4 del 21 luglio 1997</w:t>
      </w:r>
    </w:p>
    <w:p>
      <w:pPr>
        <w:pStyle w:val="Heading2"/>
      </w:pPr>
      <w:r>
        <w:t>Regeste</w:t>
      </w:r>
    </w:p>
    <w:p>
      <w:r>
        <w:t>Sentenza o decisione senza scheda</w:t>
      </w:r>
    </w:p>
    <w:p>
      <w:pPr>
        <w:pStyle w:val="Heading2"/>
      </w:pPr>
      <w:r>
        <w:t>Erwägungen</w:t>
      </w:r>
    </w:p>
    <w:p>
      <w:r>
        <w:rPr>
          <w:b/>
        </w:rPr>
        <w:t>E. 1</w:t>
      </w:r>
    </w:p>
    <w:p>
      <w:r>
        <w:t>Giusta l’art. 37 cpv. LALPT il Consiglio di Stato esamina gli atti e decide i ricorsi, approva in tutto o in parte il PR, oppure nega l’approvazione. Contro queste decisioni è dato ricorso al Tribunale della pianificazione del territorio a norma dell’art. 38 cpv. 1 LALPT. L’art. 38 cpv. 4 LALPT legittima a ricorrere il comune (cpv. 4 lett. a), i già ricorrenti, per gli stessi motivi (cpv. 4 lett. b) e i proprietari dei fondi la cui situazione è stata modificata dalla decisione del Consiglio di Stato (cpv. 4 lett. c). In concreto, la legittimazione attiva é data a norma dell’art. 38 cpv. 4 lett. a) LALPT. Presentato nei termini di legge, e quindi tempestivo, il ricorso è ricevibile in ordine.</w:t>
      </w:r>
    </w:p>
    <w:p>
      <w:r>
        <w:rPr>
          <w:b/>
        </w:rPr>
        <w:t>E. 2</w:t>
      </w:r>
    </w:p>
    <w:p>
      <w:r>
        <w:t>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(art. 1 LE 73, art. 24 LALPT; DTF inedita 21 novembre 1990 in re comune di __________).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il comune invocherà invano la lesione della sua autonomia (DTF 1. giugno 1995 in re Comune di __________, 116 Ia 226 seg. consid. 2a; Alfred Kuttler, Zum Schutz der Gemeindeautonomie in der neueren bundesgerichtlichen Rechtsprechung, in Rep. 1991, pag. 45 seg., in part. 55)</w:t>
      </w:r>
    </w:p>
    <w:p>
      <w:r>
        <w:rPr>
          <w:b/>
        </w:rPr>
        <w:t>E. 3</w:t>
      </w:r>
    </w:p>
    <w:p>
      <w:r>
        <w:t>Oggetto della presente vertenza é l’istituzione di una zona di interesse archeologico nella località “__________ __________ __________ ”, operata d’ufficio dal Consiglio di Stato nella sua risoluzione del 23 dicembre 1996. Il comune ricorrente, che non si oppone all’attribuzione alla zona archeologica dei comparti inedificati di “__________ __________ __________ ” e di “__________ ”, contesta invece decisamente il vincolo apposto sulla zona edificabile di “__________ __________ __________ ”, situata a est del nucleo storico. A suo dire, le motivazioni espresse dall’UMS sulla necessità del vincolo non poggerebbero nella fattispecie (diversamente che per gli altri due comparti) su elementi di valutazione concreti e oggettivi, limitandosi a richiamare vaghi e non confermati indizi di ritrovamenti di materiale archeologico.</w:t>
      </w:r>
    </w:p>
    <w:p>
      <w:r>
        <w:rPr>
          <w:b/>
        </w:rPr>
        <w:t>E. 3.1</w:t>
      </w:r>
    </w:p>
    <w:p>
      <w:r>
        <w:t>L’introduzione nei PR, ed in particolare nel piano del paesaggio, delle “zone di interesse archeologico” é determinata in primo luogo dall’applicazione della legge per la protezione dei monumenti storici ed artistici del 15 aprile 1946 (n. 9.3.2.1. RL) e dal decreto legislativo per la tutela dei ritrovamenti archeologici del 26 gennaio 1942 (n. 9.3.2.3.2). Sull’interesse e la valenza di queste particolari zone, il TF si é già pronunciato nella sentenza del 13.12.1988 in re __________ __________. e __________., osservando che “.. lo scopo principale dei piani menzionati ... consiste nell’informare il proprietario di un fondo sui possibili contenuti storici e archeologici dei terreni o degli stabili. ..... Per la zona archeologica il vincolo si limita a dar ragguagli sulla possibilità di ritrovamenti e ad addurre la necessità di coordinare con le autorità responsabili i mutamenti del terreno che potrebbero danneggiare reperti archeologici. L’imposizione dei vincoli è disciplinata dalla rispettiva legislazione speciale (cfr. Scolari, Commento della legge edilizia del Cantone Ticino, n. 48 all’art. 16). I parametri edilizi e pianificatori rimangono a loro volta quelli ordinari, enunciati dalle norme di attuazione del piano ...” Ora, queste indicazioni sono senz’altro valide anche nella presente fattispecie : la delimitazione della zona di interesse archeologico é stata fatta a titolo prudenziale ed indicativo, non avendo l’UMS precluso la possibilità di ridurre (ma anche ampliare) il suo perimetro in funzione di ritrovamenti e accertamenti che potranno verificarsi (cfr. lettera del 12.7.1996 dell’UMS alla SPU); la sua sovrapposizione alla zona edificabile (e largamente edificata) di “__________ __________ __________ ” non ha inoltre nessuna influenza sulle capacità edificatorie del comparto, che risulteranno pur sempre quelle riportate nelle NAPR. In siffatte circostanze, le eventuali restrizioni della proprietà che dovessero risultarne, discenderebbero non già dall’inserimento del fondo nella discussa zona ma dalle conseguenze che i ritrovamenti fattivi trarrebbero con sé in forza delle disposizioni del diritto cantonale (e/o federale). In altre parole, la restrizione della proprietà è posta in essere non tanto dalla collocazione nella zona protetta quanto dall’eventuale reperimento in essa di valori protetti dalla legge. I possibili inconvenienti che potrebbero derivarne sono giustificati dall’esigenza di offrire un’effettiva tutela a beni che per la loro potenziale importanza storica, antropologica e culturale sono protetti dalla legge cantonale. Né peraltro l’obbligo di comunicare preventivamente uno scavo al competente ufficio (UMS) appare talmente grave da violare il principio della proporzionalità. Ad ogni buon conto non v’è alcun motivo di paventare le gravi conseguenze sull’utilizzo dei fondi che il ricorrente sembra, implicitamente, aspettarsi dall’assegnazione di terreni edificabili a queste zone.</w:t>
      </w:r>
    </w:p>
    <w:p>
      <w:r>
        <w:rPr>
          <w:b/>
        </w:rPr>
        <w:t>E. 4</w:t>
      </w:r>
    </w:p>
    <w:p>
      <w:r>
        <w:t>Per le predette considerazioni, il ricorso é respinto; la zona di interesse archeologico istituita nel comparto “__________ __________ __________ ” é quindi riconfermata. Non si prelevano tuttavia né tasse né spese dal comune, dato che é intervenuto nell’espletamento delle sue funzioni e non già a difesa di interessi patrimoniali. Per questi motivi, viste le normative alla fattispecie applicabili,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