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90.1997.37 vom 11. April 2003</w:t>
      </w:r>
    </w:p>
    <w:p>
      <w:r>
        <w:t>TI Tribunale d'appello, 2003-04-11, IT</w:t>
      </w:r>
    </w:p>
    <w:p>
      <w:r>
        <w:rPr>
          <w:b/>
        </w:rPr>
        <w:t xml:space="preserve">Quelle: </w:t>
      </w:r>
      <w:r>
        <w:t>https://mcp.opencaselaw.ch/entscheid/ti_gerichte_90.1997.37</w:t>
      </w:r>
    </w:p>
    <w:p>
      <w:r>
        <w:t>FR: TI_GERICHTE 90.1997.37 du 11 avril 2003</w:t>
      </w:r>
    </w:p>
    <w:p>
      <w:r>
        <w:t>IT: TI_GERICHTE 90.1997.37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__________). Come spiega il rapporto d’esame allestito dall’ufficio federale dello sviluppo territoriale alla cifra 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in oggetto nella categoria "meritevole 1a. Approvando la variante di piano regolatore il Consiglio di Stato ha, invece, modificato la valutazione in "diroccato 2". Il ricorrente contesta tale valutazione. Chiede la conferma della classificazione comunale. Sostiene che l'edificio va protetto e conservato essendo parte integrante del paesaggio alpestre. Aggiunge che quanto deciso dal Consiglio di Stato è lesivo dell'autonomia comunale e richiama il ricorso introdotto dal comune a questo riguardo.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in stato di abbandono, non aveva un tetto e presentava solo parte dei muri perimetrali (cfr. fotografie riferite ai rilievi, agli atti). Trattasi dunque di un diroccato giusta l'art. 29 seconda frase RLALPT: opera in rovina, inutilizzabile, ovvero non degna di conservazione. Mettendo l'inventario comunale in sintonia con l'ordinamento di rango superiore (cantonale e federale), il Consiglio di Stato non ha, di conseguenza, nemmeno violato l'autonomia di cui beneficia, in questo ambito, il comune di __________.</w:t>
      </w:r>
    </w:p>
    <w:p>
      <w:r>
        <w:rPr>
          <w:b/>
        </w:rPr>
        <w:t>E. 3.3</w:t>
      </w:r>
    </w:p>
    <w:p>
      <w:r>
        <w:t>Il ricorso deve, dunque, essere respinto. 4.  La tassa di giudizio è posta a carico del ricorrente (art. 28 PAmm). Per questi motivi, visti gli articoli di legge applicabili alla fattispecie, dichiara e pronuncia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